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15175" w14:textId="77777777" w:rsidR="00A16C1B" w:rsidRDefault="00BE7D99" w:rsidP="00D54B30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val="az-Latn-AZ" w:eastAsia="ru-RU"/>
        </w:rPr>
      </w:pPr>
      <w:r w:rsidRPr="00920BA4">
        <w:rPr>
          <w:rFonts w:ascii="Arial" w:eastAsia="Times New Roman" w:hAnsi="Arial" w:cs="Arial"/>
          <w:b/>
          <w:sz w:val="24"/>
          <w:szCs w:val="24"/>
          <w:lang w:val="az-Latn-AZ" w:eastAsia="ru-RU"/>
        </w:rPr>
        <w:t>Açıq hökumətin təşviqinə dair 2020-2022-ci illər üçün Milli Fəaliyyət Planı</w:t>
      </w:r>
    </w:p>
    <w:p w14:paraId="354ECD19" w14:textId="77777777" w:rsidR="00A16C1B" w:rsidRDefault="00A16C1B" w:rsidP="00D54B30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val="az-Latn-AZ" w:eastAsia="ru-RU"/>
        </w:rPr>
      </w:pP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7087"/>
        <w:gridCol w:w="2977"/>
        <w:gridCol w:w="2977"/>
        <w:gridCol w:w="1417"/>
      </w:tblGrid>
      <w:tr w:rsidR="006A4FBC" w:rsidRPr="00920BA4" w14:paraId="55464334" w14:textId="77777777" w:rsidTr="004E09B7">
        <w:trPr>
          <w:jc w:val="center"/>
        </w:trPr>
        <w:tc>
          <w:tcPr>
            <w:tcW w:w="988" w:type="dxa"/>
            <w:vAlign w:val="center"/>
            <w:hideMark/>
          </w:tcPr>
          <w:p w14:paraId="2B1EF886" w14:textId="77777777" w:rsidR="006A4FBC" w:rsidRPr="0019235C" w:rsidRDefault="006A4FBC" w:rsidP="0053142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235C">
              <w:rPr>
                <w:rFonts w:ascii="Arial" w:eastAsia="Times New Roman" w:hAnsi="Arial" w:cs="Arial"/>
                <w:b/>
                <w:bCs/>
                <w:sz w:val="24"/>
                <w:szCs w:val="24"/>
                <w:lang w:val="az-Latn-AZ" w:eastAsia="ru-RU"/>
              </w:rPr>
              <w:t>№</w:t>
            </w:r>
          </w:p>
        </w:tc>
        <w:tc>
          <w:tcPr>
            <w:tcW w:w="7087" w:type="dxa"/>
            <w:vAlign w:val="center"/>
            <w:hideMark/>
          </w:tcPr>
          <w:p w14:paraId="5E30E83F" w14:textId="77777777" w:rsidR="006A4FBC" w:rsidRPr="00920BA4" w:rsidRDefault="006A4FBC" w:rsidP="00D54B3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0BA4">
              <w:rPr>
                <w:rFonts w:ascii="Arial" w:eastAsia="Times New Roman" w:hAnsi="Arial" w:cs="Arial"/>
                <w:b/>
                <w:sz w:val="24"/>
                <w:szCs w:val="24"/>
                <w:lang w:val="az-Latn-AZ" w:eastAsia="ru-RU"/>
              </w:rPr>
              <w:t>Tədbirin adı</w:t>
            </w:r>
          </w:p>
        </w:tc>
        <w:tc>
          <w:tcPr>
            <w:tcW w:w="2977" w:type="dxa"/>
            <w:vAlign w:val="center"/>
          </w:tcPr>
          <w:p w14:paraId="154AA23D" w14:textId="77777777" w:rsidR="006A4FBC" w:rsidRPr="00920BA4" w:rsidRDefault="006A4FBC" w:rsidP="00D54B3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az-Latn-AZ" w:eastAsia="ru-RU"/>
              </w:rPr>
              <w:t>Qiymətləndirmə indikatoru</w:t>
            </w:r>
          </w:p>
        </w:tc>
        <w:tc>
          <w:tcPr>
            <w:tcW w:w="2977" w:type="dxa"/>
            <w:vAlign w:val="center"/>
            <w:hideMark/>
          </w:tcPr>
          <w:p w14:paraId="6B3EC078" w14:textId="77777777" w:rsidR="006A4FBC" w:rsidRPr="00920BA4" w:rsidRDefault="006A4FBC" w:rsidP="0053142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0BA4">
              <w:rPr>
                <w:rFonts w:ascii="Arial" w:eastAsia="Times New Roman" w:hAnsi="Arial" w:cs="Arial"/>
                <w:b/>
                <w:sz w:val="24"/>
                <w:szCs w:val="24"/>
                <w:lang w:val="az-Latn-AZ" w:eastAsia="ru-RU"/>
              </w:rPr>
              <w:t>İcra / Tövsiyə</w:t>
            </w:r>
          </w:p>
        </w:tc>
        <w:tc>
          <w:tcPr>
            <w:tcW w:w="1417" w:type="dxa"/>
            <w:vAlign w:val="center"/>
            <w:hideMark/>
          </w:tcPr>
          <w:p w14:paraId="616AB247" w14:textId="77777777" w:rsidR="006A4FBC" w:rsidRPr="00920BA4" w:rsidRDefault="006A4FBC" w:rsidP="001D022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20BA4">
              <w:rPr>
                <w:rFonts w:ascii="Arial" w:eastAsia="Times New Roman" w:hAnsi="Arial" w:cs="Arial"/>
                <w:b/>
                <w:sz w:val="24"/>
                <w:szCs w:val="24"/>
                <w:lang w:val="az-Latn-AZ" w:eastAsia="ru-RU"/>
              </w:rPr>
              <w:t>İcra müddəti</w:t>
            </w:r>
          </w:p>
        </w:tc>
      </w:tr>
      <w:tr w:rsidR="0019235C" w:rsidRPr="00870ADC" w14:paraId="56427CD5" w14:textId="77777777" w:rsidTr="00F925C5">
        <w:trPr>
          <w:trHeight w:val="764"/>
          <w:jc w:val="center"/>
        </w:trPr>
        <w:tc>
          <w:tcPr>
            <w:tcW w:w="15446" w:type="dxa"/>
            <w:gridSpan w:val="5"/>
            <w:vAlign w:val="center"/>
          </w:tcPr>
          <w:tbl>
            <w:tblPr>
              <w:tblW w:w="1545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3"/>
              <w:gridCol w:w="7087"/>
              <w:gridCol w:w="2977"/>
              <w:gridCol w:w="2977"/>
              <w:gridCol w:w="1417"/>
            </w:tblGrid>
            <w:tr w:rsidR="00870ADC" w:rsidRPr="0019235C" w14:paraId="079DA765" w14:textId="77777777" w:rsidTr="00382FC9">
              <w:trPr>
                <w:trHeight w:val="868"/>
                <w:jc w:val="center"/>
              </w:trPr>
              <w:tc>
                <w:tcPr>
                  <w:tcW w:w="15451" w:type="dxa"/>
                  <w:gridSpan w:val="5"/>
                  <w:vAlign w:val="center"/>
                </w:tcPr>
                <w:p w14:paraId="10CF9BEE" w14:textId="5144134E" w:rsidR="00870ADC" w:rsidRPr="0019235C" w:rsidRDefault="00870ADC" w:rsidP="00870ADC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19235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 xml:space="preserve">Korrupsiyanın qarşısının alınması və dövlət orqanlarının fəaliyyətində şəffaflığın gücləndirilməsi </w:t>
                  </w:r>
                  <w:r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ru-RU"/>
                    </w:rPr>
                    <w:t>sahəsində tədbirlər</w:t>
                  </w:r>
                </w:p>
              </w:tc>
            </w:tr>
            <w:tr w:rsidR="00870ADC" w:rsidRPr="00920BA4" w14:paraId="357969E9" w14:textId="77777777" w:rsidTr="00382FC9">
              <w:trPr>
                <w:trHeight w:val="490"/>
                <w:jc w:val="center"/>
              </w:trPr>
              <w:tc>
                <w:tcPr>
                  <w:tcW w:w="993" w:type="dxa"/>
                  <w:vAlign w:val="center"/>
                </w:tcPr>
                <w:p w14:paraId="462B8E6E" w14:textId="19A18DBD" w:rsidR="00870ADC" w:rsidRPr="0019235C" w:rsidRDefault="00592B6B" w:rsidP="00870ADC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1</w:t>
                  </w:r>
                  <w:r w:rsidR="00870ADC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.1</w:t>
                  </w:r>
                  <w:r w:rsidR="00870ADC" w:rsidRPr="0019235C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.</w:t>
                  </w:r>
                </w:p>
              </w:tc>
              <w:tc>
                <w:tcPr>
                  <w:tcW w:w="7087" w:type="dxa"/>
                </w:tcPr>
                <w:p w14:paraId="011DED49" w14:textId="77777777" w:rsidR="00870ADC" w:rsidRPr="00920BA4" w:rsidRDefault="00870ADC" w:rsidP="00870ADC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Qabaqcıl b</w:t>
                  </w:r>
                  <w:r w:rsidRPr="00920BA4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eynəlxalq təcrübə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 xml:space="preserve"> nəzərə alınmaqla </w:t>
                  </w:r>
                  <w:r w:rsidRPr="00920BA4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korrupsiya risklərinin müəyyən edilməsi, təhlili və qarşısının alınması üzrə metodologiyanın hazırlanması</w:t>
                  </w:r>
                </w:p>
              </w:tc>
              <w:tc>
                <w:tcPr>
                  <w:tcW w:w="2977" w:type="dxa"/>
                  <w:vAlign w:val="center"/>
                </w:tcPr>
                <w:p w14:paraId="7424CD54" w14:textId="77777777" w:rsidR="00870ADC" w:rsidRPr="00920BA4" w:rsidRDefault="00870ADC" w:rsidP="00870ADC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Metodologiyanın hazırlanması və ondan istifadə edilməsi imkanları</w:t>
                  </w:r>
                </w:p>
              </w:tc>
              <w:tc>
                <w:tcPr>
                  <w:tcW w:w="2977" w:type="dxa"/>
                  <w:vAlign w:val="center"/>
                </w:tcPr>
                <w:p w14:paraId="42E5F81E" w14:textId="7ECF84D2" w:rsidR="00870ADC" w:rsidRDefault="00870ADC" w:rsidP="00870ADC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</w:pPr>
                  <w:r w:rsidRPr="00920BA4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 xml:space="preserve">İcraçı: 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Nazirlər Kabineti</w:t>
                  </w:r>
                </w:p>
                <w:p w14:paraId="0B6C6BCC" w14:textId="77777777" w:rsidR="00870ADC" w:rsidRDefault="00870ADC" w:rsidP="00870ADC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</w:pPr>
                </w:p>
                <w:p w14:paraId="59701CDE" w14:textId="26C08813" w:rsidR="00870ADC" w:rsidRPr="00920BA4" w:rsidRDefault="00870ADC" w:rsidP="00870ADC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</w:pPr>
                  <w:r w:rsidRPr="00190E6E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Tövsiyə edilir: Baş Prokurorluq</w:t>
                  </w:r>
                  <w:r w:rsidR="00AE578B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, Korrupsiyaya qarşı mübarizə üzrə Komissiya</w:t>
                  </w:r>
                </w:p>
              </w:tc>
              <w:tc>
                <w:tcPr>
                  <w:tcW w:w="1417" w:type="dxa"/>
                  <w:vAlign w:val="center"/>
                </w:tcPr>
                <w:p w14:paraId="3D104D7C" w14:textId="77777777" w:rsidR="00870ADC" w:rsidRPr="00920BA4" w:rsidRDefault="00870ADC" w:rsidP="00870ADC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2020</w:t>
                  </w:r>
                </w:p>
              </w:tc>
            </w:tr>
            <w:tr w:rsidR="00870ADC" w:rsidRPr="00920BA4" w14:paraId="2BC3DEBB" w14:textId="77777777" w:rsidTr="00482B8D">
              <w:trPr>
                <w:trHeight w:val="610"/>
                <w:jc w:val="center"/>
              </w:trPr>
              <w:tc>
                <w:tcPr>
                  <w:tcW w:w="993" w:type="dxa"/>
                  <w:vAlign w:val="center"/>
                </w:tcPr>
                <w:p w14:paraId="0DE0DDA6" w14:textId="2AADD248" w:rsidR="00870ADC" w:rsidRPr="0019235C" w:rsidRDefault="00592B6B" w:rsidP="00870ADC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1</w:t>
                  </w:r>
                  <w:r w:rsidR="00870ADC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.2</w:t>
                  </w:r>
                  <w:r w:rsidR="00870ADC" w:rsidRPr="0019235C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.</w:t>
                  </w:r>
                </w:p>
              </w:tc>
              <w:tc>
                <w:tcPr>
                  <w:tcW w:w="7087" w:type="dxa"/>
                  <w:vAlign w:val="center"/>
                </w:tcPr>
                <w:p w14:paraId="57DB1082" w14:textId="02DD1D57" w:rsidR="00870ADC" w:rsidRPr="00920BA4" w:rsidRDefault="00870ADC" w:rsidP="00870ADC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</w:pPr>
                  <w:r w:rsidRPr="00920BA4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Dövlət qurumları tərəfindən korrupsiya risklərinin qiymətləndirilməsi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 xml:space="preserve"> və</w:t>
                  </w:r>
                  <w:r w:rsidRPr="00920BA4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 xml:space="preserve"> onların qarşısının alınması üzrə illik tədbirlər plan</w:t>
                  </w:r>
                  <w:r w:rsidR="00A62DD1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lar</w:t>
                  </w:r>
                  <w:r w:rsidRPr="00920BA4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ının hazırlanması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, həmin tədbirlər plan</w:t>
                  </w:r>
                  <w:r w:rsidR="00A62DD1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lar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ının</w:t>
                  </w:r>
                  <w:r w:rsidRPr="00920BA4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 xml:space="preserve"> icrası barədə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 xml:space="preserve"> hesabatın</w:t>
                  </w:r>
                  <w:r w:rsidRPr="00920BA4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 xml:space="preserve"> Korrupsiyaya qarşı mübarizə üzrə Komissiyaya təqdim edilməsi   </w:t>
                  </w:r>
                </w:p>
              </w:tc>
              <w:tc>
                <w:tcPr>
                  <w:tcW w:w="2977" w:type="dxa"/>
                  <w:vAlign w:val="center"/>
                </w:tcPr>
                <w:p w14:paraId="0A152AFD" w14:textId="77777777" w:rsidR="00870ADC" w:rsidRPr="00920BA4" w:rsidRDefault="00870ADC" w:rsidP="00870ADC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</w:pPr>
                  <w:r w:rsidRPr="00920BA4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Korrupsiyaya qarşı mübarizə üzrə Komissiyaya təqdim edil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ən hesabatlar</w:t>
                  </w:r>
                  <w:r w:rsidRPr="00920BA4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 xml:space="preserve">   </w:t>
                  </w:r>
                </w:p>
              </w:tc>
              <w:tc>
                <w:tcPr>
                  <w:tcW w:w="2977" w:type="dxa"/>
                  <w:vAlign w:val="center"/>
                </w:tcPr>
                <w:p w14:paraId="691EE4A1" w14:textId="77777777" w:rsidR="00870ADC" w:rsidRDefault="00870ADC" w:rsidP="00870ADC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</w:pPr>
                  <w:r w:rsidRPr="00920BA4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 xml:space="preserve">İcraçılar: 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mərkəzi icra hakimiyyəti orqanları və dövlət adından yaradılmış publik hüquqi şəxslər</w:t>
                  </w:r>
                </w:p>
                <w:p w14:paraId="6135E195" w14:textId="77777777" w:rsidR="00870ADC" w:rsidRPr="00920BA4" w:rsidRDefault="00870ADC" w:rsidP="00870ADC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6B1BFCF3" w14:textId="77777777" w:rsidR="00870ADC" w:rsidRPr="00920BA4" w:rsidRDefault="00870ADC" w:rsidP="00870ADC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2020-2022</w:t>
                  </w:r>
                </w:p>
              </w:tc>
            </w:tr>
            <w:tr w:rsidR="00870ADC" w:rsidRPr="00920BA4" w14:paraId="5E53BA54" w14:textId="77777777" w:rsidTr="00482B8D">
              <w:trPr>
                <w:trHeight w:val="993"/>
                <w:jc w:val="center"/>
              </w:trPr>
              <w:tc>
                <w:tcPr>
                  <w:tcW w:w="993" w:type="dxa"/>
                  <w:vAlign w:val="center"/>
                </w:tcPr>
                <w:p w14:paraId="14446781" w14:textId="768E0330" w:rsidR="00870ADC" w:rsidRPr="0019235C" w:rsidRDefault="00592B6B" w:rsidP="00870ADC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1</w:t>
                  </w:r>
                  <w:r w:rsidR="00870ADC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.3</w:t>
                  </w:r>
                  <w:r w:rsidR="00870ADC" w:rsidRPr="0019235C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.</w:t>
                  </w:r>
                </w:p>
              </w:tc>
              <w:tc>
                <w:tcPr>
                  <w:tcW w:w="7087" w:type="dxa"/>
                  <w:vAlign w:val="center"/>
                </w:tcPr>
                <w:p w14:paraId="7BFFA781" w14:textId="70A1D2AA" w:rsidR="00870ADC" w:rsidRPr="00920BA4" w:rsidRDefault="00870ADC" w:rsidP="00870ADC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</w:pPr>
                  <w:r w:rsidRPr="00920BA4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Korrupsiyanın ümumilikdə və sahələr üzrə səbəbləri, xüsusiyyətləri, səviyyəsinin öyrənilməsi məqsədilə ixtisaslaşdırılmış tədqiqatların və rəy sorğularının həyata keçirilməsi</w:t>
                  </w:r>
                  <w:r w:rsidR="007E3385" w:rsidRPr="00920BA4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 xml:space="preserve"> üçün bu sahədə ixtisaslaşmış qeyri-hökumət təşkilatlarına dəstəyin verilməsi</w:t>
                  </w:r>
                </w:p>
              </w:tc>
              <w:tc>
                <w:tcPr>
                  <w:tcW w:w="2977" w:type="dxa"/>
                  <w:vAlign w:val="center"/>
                </w:tcPr>
                <w:p w14:paraId="19C9F68D" w14:textId="65C89F5B" w:rsidR="00870ADC" w:rsidRPr="00920BA4" w:rsidRDefault="007E3385" w:rsidP="00870ADC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</w:pPr>
                  <w:r w:rsidRPr="0079159D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Dəstəklənmiş layihələr</w:t>
                  </w:r>
                </w:p>
              </w:tc>
              <w:tc>
                <w:tcPr>
                  <w:tcW w:w="2977" w:type="dxa"/>
                  <w:vAlign w:val="center"/>
                </w:tcPr>
                <w:p w14:paraId="4D9C7F8A" w14:textId="38862A68" w:rsidR="00AE578B" w:rsidRDefault="007E3385" w:rsidP="007E3385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</w:pPr>
                  <w:r w:rsidRPr="00920BA4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İcraçı: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 xml:space="preserve"> Azərbaycan Respublikasının Prezidenti yanında Qeyri-Hökumət Təşkilatlarına Dövlət Dəstəyi Şurası</w:t>
                  </w:r>
                </w:p>
                <w:p w14:paraId="2D124CDA" w14:textId="77777777" w:rsidR="00AE578B" w:rsidRDefault="00AE578B" w:rsidP="007E3385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</w:pPr>
                </w:p>
                <w:p w14:paraId="74044E45" w14:textId="5D16B8FA" w:rsidR="00870ADC" w:rsidRPr="00920BA4" w:rsidRDefault="00AE578B" w:rsidP="00AE578B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Tövsiyə edilir:</w:t>
                  </w:r>
                  <w:r w:rsidR="007E3385" w:rsidRPr="00920BA4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 xml:space="preserve"> </w:t>
                  </w:r>
                  <w:r w:rsidR="007E3385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Korrupsiyaya qarşı mübarizə üzrə Komissiya</w:t>
                  </w:r>
                </w:p>
              </w:tc>
              <w:tc>
                <w:tcPr>
                  <w:tcW w:w="1417" w:type="dxa"/>
                  <w:vAlign w:val="center"/>
                </w:tcPr>
                <w:p w14:paraId="643B9F1B" w14:textId="77777777" w:rsidR="00870ADC" w:rsidRPr="00920BA4" w:rsidRDefault="00870ADC" w:rsidP="00870ADC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2020-2022</w:t>
                  </w:r>
                </w:p>
              </w:tc>
            </w:tr>
            <w:tr w:rsidR="00870ADC" w:rsidRPr="007F7097" w14:paraId="2B6C8995" w14:textId="77777777" w:rsidTr="00382FC9">
              <w:trPr>
                <w:trHeight w:val="170"/>
                <w:jc w:val="center"/>
              </w:trPr>
              <w:tc>
                <w:tcPr>
                  <w:tcW w:w="993" w:type="dxa"/>
                  <w:vAlign w:val="center"/>
                </w:tcPr>
                <w:p w14:paraId="084DBD1D" w14:textId="5A377E7B" w:rsidR="00870ADC" w:rsidRPr="007F7097" w:rsidRDefault="00592B6B" w:rsidP="00870ADC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1</w:t>
                  </w:r>
                  <w:r w:rsidR="00870ADC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.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4</w:t>
                  </w:r>
                  <w:r w:rsidR="00870ADC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.</w:t>
                  </w:r>
                </w:p>
              </w:tc>
              <w:tc>
                <w:tcPr>
                  <w:tcW w:w="7087" w:type="dxa"/>
                  <w:vAlign w:val="center"/>
                </w:tcPr>
                <w:p w14:paraId="295CBDEE" w14:textId="77777777" w:rsidR="00870ADC" w:rsidRPr="007F7097" w:rsidRDefault="00870ADC" w:rsidP="00870ADC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</w:pPr>
                  <w:r w:rsidRPr="007F7097">
                    <w:rPr>
                      <w:rFonts w:ascii="Arial" w:hAnsi="Arial" w:cs="Arial"/>
                      <w:color w:val="000000"/>
                      <w:sz w:val="24"/>
                      <w:szCs w:val="24"/>
                      <w:lang w:val="az-Latn-AZ"/>
                    </w:rPr>
                    <w:t>Vəzifəli şəxslər tərəfindən maliyyə xarakterli məlumatların təqdim olunması ilə əlaqədar tədbirlərin həyata keçirilməsi</w:t>
                  </w:r>
                </w:p>
              </w:tc>
              <w:tc>
                <w:tcPr>
                  <w:tcW w:w="2977" w:type="dxa"/>
                  <w:vAlign w:val="center"/>
                </w:tcPr>
                <w:p w14:paraId="65EF2D5D" w14:textId="77777777" w:rsidR="00870ADC" w:rsidRPr="007F7097" w:rsidRDefault="00870ADC" w:rsidP="00870ADC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</w:pPr>
                  <w:r w:rsidRPr="007F7097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Həyata keçirilmiş tədbirlər</w:t>
                  </w:r>
                </w:p>
              </w:tc>
              <w:tc>
                <w:tcPr>
                  <w:tcW w:w="2977" w:type="dxa"/>
                  <w:vAlign w:val="center"/>
                </w:tcPr>
                <w:p w14:paraId="23AC388B" w14:textId="77777777" w:rsidR="00870ADC" w:rsidRPr="007F7097" w:rsidRDefault="00870ADC" w:rsidP="00870AD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az-Latn-AZ"/>
                    </w:rPr>
                  </w:pPr>
                  <w:r w:rsidRPr="007F7097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az-Latn-AZ"/>
                    </w:rPr>
                    <w:t>İcraçılar: Nazirlər Kabineti, Ədliyyə Nazirliyi</w:t>
                  </w:r>
                </w:p>
                <w:p w14:paraId="2101EFEF" w14:textId="77777777" w:rsidR="00870ADC" w:rsidRPr="007F7097" w:rsidRDefault="00870ADC" w:rsidP="00870AD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az-Latn-AZ"/>
                    </w:rPr>
                  </w:pPr>
                  <w:r w:rsidRPr="007F7097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az-Latn-AZ"/>
                    </w:rPr>
                    <w:t> </w:t>
                  </w:r>
                </w:p>
                <w:p w14:paraId="625E6995" w14:textId="77777777" w:rsidR="00870ADC" w:rsidRPr="007F7097" w:rsidRDefault="00870ADC" w:rsidP="00870ADC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az-Latn-AZ"/>
                    </w:rPr>
                  </w:pPr>
                  <w:r w:rsidRPr="007F7097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val="az-Latn-AZ"/>
                    </w:rPr>
                    <w:t>Tövsiyə edilir: Milli Məclis, Korrupsiyaya qarşı mübarizə üzrə Komissiya</w:t>
                  </w:r>
                </w:p>
                <w:p w14:paraId="5B055716" w14:textId="77777777" w:rsidR="00870ADC" w:rsidRPr="007F7097" w:rsidRDefault="00870ADC" w:rsidP="00870ADC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76EADEA6" w14:textId="77777777" w:rsidR="00870ADC" w:rsidRPr="007F7097" w:rsidRDefault="00870ADC" w:rsidP="00870ADC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2020-2022</w:t>
                  </w:r>
                </w:p>
              </w:tc>
            </w:tr>
            <w:tr w:rsidR="00870ADC" w:rsidRPr="00A46199" w14:paraId="4D30F16C" w14:textId="77777777" w:rsidTr="00382FC9">
              <w:trPr>
                <w:trHeight w:val="530"/>
                <w:jc w:val="center"/>
              </w:trPr>
              <w:tc>
                <w:tcPr>
                  <w:tcW w:w="993" w:type="dxa"/>
                  <w:vAlign w:val="center"/>
                </w:tcPr>
                <w:p w14:paraId="7DE6D598" w14:textId="3C006DEF" w:rsidR="00870ADC" w:rsidRPr="0019235C" w:rsidRDefault="00592B6B" w:rsidP="00870ADC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1</w:t>
                  </w:r>
                  <w:r w:rsidR="00870ADC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.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5</w:t>
                  </w:r>
                  <w:r w:rsidR="00870ADC" w:rsidRPr="0019235C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.</w:t>
                  </w:r>
                </w:p>
              </w:tc>
              <w:tc>
                <w:tcPr>
                  <w:tcW w:w="7087" w:type="dxa"/>
                  <w:vAlign w:val="center"/>
                </w:tcPr>
                <w:p w14:paraId="1B9D1877" w14:textId="561CC907" w:rsidR="00870ADC" w:rsidRPr="00920BA4" w:rsidRDefault="00870ADC" w:rsidP="00870ADC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z-Latn-AZ" w:eastAsia="ru-RU"/>
                    </w:rPr>
                  </w:pPr>
                  <w:r w:rsidRPr="00920BA4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 xml:space="preserve">Dövlət qulluqçuları üçün korrupsiyaya qarşı mübarizə və etik davranış qaydaları ilə bağlı elektron-təlim kursunun </w:t>
                  </w:r>
                  <w:r w:rsidR="007E3385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təşkili</w:t>
                  </w:r>
                </w:p>
              </w:tc>
              <w:tc>
                <w:tcPr>
                  <w:tcW w:w="2977" w:type="dxa"/>
                  <w:vAlign w:val="center"/>
                </w:tcPr>
                <w:p w14:paraId="74C04499" w14:textId="77777777" w:rsidR="00870ADC" w:rsidRDefault="00870ADC" w:rsidP="00870ADC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</w:pPr>
                  <w:r w:rsidRPr="00920BA4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 xml:space="preserve">Elektron-təlim kursunun 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fəaliyyəti</w:t>
                  </w:r>
                </w:p>
              </w:tc>
              <w:tc>
                <w:tcPr>
                  <w:tcW w:w="2977" w:type="dxa"/>
                  <w:vAlign w:val="center"/>
                </w:tcPr>
                <w:p w14:paraId="1B575D60" w14:textId="69DBE483" w:rsidR="00AE578B" w:rsidRDefault="00870ADC" w:rsidP="00870ADC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İcraçı: Dövlət İmtahan Mərkəzi</w:t>
                  </w:r>
                </w:p>
                <w:p w14:paraId="54BB22C1" w14:textId="77777777" w:rsidR="00AE578B" w:rsidRDefault="00AE578B" w:rsidP="00870ADC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</w:pPr>
                </w:p>
                <w:p w14:paraId="0F14AAB4" w14:textId="38C65ABC" w:rsidR="00870ADC" w:rsidRPr="00920BA4" w:rsidRDefault="00AE578B" w:rsidP="00870ADC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Tövsiyə edilir:</w:t>
                  </w:r>
                  <w:r w:rsidR="00870ADC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 xml:space="preserve"> Korrupsiyaya qarşı mübarizə üzrə Komissiya</w:t>
                  </w:r>
                </w:p>
              </w:tc>
              <w:tc>
                <w:tcPr>
                  <w:tcW w:w="1417" w:type="dxa"/>
                  <w:vAlign w:val="center"/>
                </w:tcPr>
                <w:p w14:paraId="26E57E74" w14:textId="77777777" w:rsidR="00870ADC" w:rsidRPr="00A46199" w:rsidRDefault="00870ADC" w:rsidP="00870ADC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</w:pPr>
                  <w:r w:rsidRPr="00A46199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lastRenderedPageBreak/>
                    <w:t>2020</w:t>
                  </w:r>
                </w:p>
              </w:tc>
            </w:tr>
            <w:tr w:rsidR="00870ADC" w:rsidRPr="00A46199" w14:paraId="51B5479F" w14:textId="77777777" w:rsidTr="00382FC9">
              <w:trPr>
                <w:trHeight w:val="2808"/>
                <w:jc w:val="center"/>
              </w:trPr>
              <w:tc>
                <w:tcPr>
                  <w:tcW w:w="993" w:type="dxa"/>
                  <w:vAlign w:val="center"/>
                </w:tcPr>
                <w:p w14:paraId="69AA886F" w14:textId="79EAC051" w:rsidR="00870ADC" w:rsidRPr="0019235C" w:rsidRDefault="00592B6B" w:rsidP="00870ADC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1</w:t>
                  </w:r>
                  <w:r w:rsidR="00870ADC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.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6</w:t>
                  </w:r>
                  <w:r w:rsidR="00870ADC" w:rsidRPr="0019235C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.</w:t>
                  </w:r>
                </w:p>
              </w:tc>
              <w:tc>
                <w:tcPr>
                  <w:tcW w:w="7087" w:type="dxa"/>
                  <w:vAlign w:val="center"/>
                </w:tcPr>
                <w:p w14:paraId="4E41001C" w14:textId="77777777" w:rsidR="00870ADC" w:rsidRPr="00920BA4" w:rsidRDefault="00870ADC" w:rsidP="00870ADC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z-Latn-AZ" w:eastAsia="ru-RU"/>
                    </w:rPr>
                  </w:pPr>
                  <w:r w:rsidRPr="00920BA4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Korrupsiyaya qarşı mübarizə və etik davranış qaydaları ilə bağlı təlimlərin keçirilməsi üçün bu sahədə fəaliyyət göstərən ixtisaslaşmış qeyri-hökumət təşkilatlarına</w:t>
                  </w:r>
                  <w:r w:rsidRPr="00EC38CF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 xml:space="preserve"> dəstəyin göstərilməsi</w:t>
                  </w:r>
                </w:p>
              </w:tc>
              <w:tc>
                <w:tcPr>
                  <w:tcW w:w="2977" w:type="dxa"/>
                  <w:vAlign w:val="center"/>
                </w:tcPr>
                <w:p w14:paraId="2EAE20B1" w14:textId="77777777" w:rsidR="00870ADC" w:rsidRDefault="00870ADC" w:rsidP="00870ADC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</w:pPr>
                  <w:r w:rsidRPr="0079159D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Dəstəklənmiş layihələr</w:t>
                  </w:r>
                </w:p>
              </w:tc>
              <w:tc>
                <w:tcPr>
                  <w:tcW w:w="2977" w:type="dxa"/>
                  <w:vAlign w:val="center"/>
                </w:tcPr>
                <w:p w14:paraId="6928FD11" w14:textId="77777777" w:rsidR="00870ADC" w:rsidRPr="00920BA4" w:rsidRDefault="00870ADC" w:rsidP="00870ADC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İcraçılar: Azərbaycan Respublikasının Prezidenti yanında Qeyri-Hökumət Təşkilatlarına Dövlət Dəstəyi Şurası,</w:t>
                  </w:r>
                  <w:r w:rsidRPr="00920BA4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mərkəzi və yerli icra hakimiyyəti orqanları, dövlət adından yaradılmış publik hüquqi şəxslər</w:t>
                  </w:r>
                </w:p>
              </w:tc>
              <w:tc>
                <w:tcPr>
                  <w:tcW w:w="1417" w:type="dxa"/>
                  <w:vAlign w:val="center"/>
                </w:tcPr>
                <w:p w14:paraId="64815C0D" w14:textId="77777777" w:rsidR="00870ADC" w:rsidRPr="00A46199" w:rsidRDefault="00870ADC" w:rsidP="00870ADC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</w:pPr>
                  <w:r w:rsidRPr="00A46199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2020-2022</w:t>
                  </w:r>
                </w:p>
              </w:tc>
            </w:tr>
            <w:tr w:rsidR="00870ADC" w:rsidRPr="00A46199" w14:paraId="43784789" w14:textId="77777777" w:rsidTr="00382FC9">
              <w:trPr>
                <w:trHeight w:val="1898"/>
                <w:jc w:val="center"/>
              </w:trPr>
              <w:tc>
                <w:tcPr>
                  <w:tcW w:w="993" w:type="dxa"/>
                  <w:vAlign w:val="center"/>
                </w:tcPr>
                <w:p w14:paraId="419106EA" w14:textId="74EF7892" w:rsidR="00870ADC" w:rsidRPr="0019235C" w:rsidRDefault="00592B6B" w:rsidP="00870ADC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1</w:t>
                  </w:r>
                  <w:r w:rsidR="00870ADC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.</w:t>
                  </w:r>
                  <w:r w:rsidR="004F3570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7</w:t>
                  </w:r>
                  <w:r w:rsidR="00870ADC" w:rsidRPr="0019235C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.</w:t>
                  </w:r>
                </w:p>
              </w:tc>
              <w:tc>
                <w:tcPr>
                  <w:tcW w:w="7087" w:type="dxa"/>
                  <w:vAlign w:val="center"/>
                </w:tcPr>
                <w:p w14:paraId="73C30417" w14:textId="04419E54" w:rsidR="00870ADC" w:rsidRPr="00920BA4" w:rsidRDefault="00870ADC" w:rsidP="00870ADC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</w:pPr>
                  <w:r w:rsidRPr="00920BA4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 xml:space="preserve">Korrupsiya ilə əlaqədar hüquqpozmalarla bağlı müraciətlərə baxılması işinin təkmilləşdirilməsi 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 xml:space="preserve">məqsədilə </w:t>
                  </w:r>
                  <w:r w:rsidRPr="00920BA4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Azərbaycan Respublikasının Baş Prokurorluğu nəzdində fəaliyyət göstərən “161 - qaynar xətt” əlaqə mərkəzinin texniki və insan resursu imkanlarının genişləndirilməsi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,</w:t>
                  </w:r>
                  <w:r w:rsidRPr="00920BA4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 xml:space="preserve"> vahid elektron müraciət portalın (161.az) yaradılması</w:t>
                  </w:r>
                </w:p>
              </w:tc>
              <w:tc>
                <w:tcPr>
                  <w:tcW w:w="2977" w:type="dxa"/>
                  <w:vAlign w:val="center"/>
                </w:tcPr>
                <w:p w14:paraId="1B80D254" w14:textId="77777777" w:rsidR="00870ADC" w:rsidRDefault="00870ADC" w:rsidP="00870ADC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</w:pPr>
                  <w:r w:rsidRPr="00920BA4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“161 - qaynar xətt” əlaqə mərkəzinin imkanlarının genişləndirilməsi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 xml:space="preserve"> ilə bağlı görülən tədbirlər</w:t>
                  </w:r>
                </w:p>
              </w:tc>
              <w:tc>
                <w:tcPr>
                  <w:tcW w:w="2977" w:type="dxa"/>
                  <w:vAlign w:val="center"/>
                </w:tcPr>
                <w:p w14:paraId="3811B09D" w14:textId="77777777" w:rsidR="00870ADC" w:rsidRPr="00920BA4" w:rsidRDefault="00870ADC" w:rsidP="00870ADC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Tövsiyə edilir: Baş Prokurorluq</w:t>
                  </w:r>
                </w:p>
              </w:tc>
              <w:tc>
                <w:tcPr>
                  <w:tcW w:w="1417" w:type="dxa"/>
                  <w:vAlign w:val="center"/>
                </w:tcPr>
                <w:p w14:paraId="19B1578C" w14:textId="77777777" w:rsidR="00870ADC" w:rsidRPr="00A46199" w:rsidRDefault="00870ADC" w:rsidP="00870ADC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</w:pPr>
                  <w:r w:rsidRPr="00A46199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2020-2022</w:t>
                  </w:r>
                </w:p>
              </w:tc>
            </w:tr>
            <w:tr w:rsidR="00873FE2" w:rsidRPr="00873FE2" w14:paraId="54BA259B" w14:textId="77777777" w:rsidTr="00382FC9">
              <w:trPr>
                <w:trHeight w:val="1898"/>
                <w:jc w:val="center"/>
              </w:trPr>
              <w:tc>
                <w:tcPr>
                  <w:tcW w:w="993" w:type="dxa"/>
                  <w:vAlign w:val="center"/>
                </w:tcPr>
                <w:p w14:paraId="3374795D" w14:textId="439D811F" w:rsidR="00873FE2" w:rsidRDefault="00592B6B" w:rsidP="00870ADC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1</w:t>
                  </w:r>
                  <w:r w:rsidR="00745652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.</w:t>
                  </w:r>
                  <w:r w:rsidR="004F3570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8</w:t>
                  </w:r>
                  <w:r w:rsidR="00745652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.</w:t>
                  </w:r>
                </w:p>
              </w:tc>
              <w:tc>
                <w:tcPr>
                  <w:tcW w:w="7087" w:type="dxa"/>
                  <w:vAlign w:val="center"/>
                </w:tcPr>
                <w:p w14:paraId="1660A719" w14:textId="4E91C062" w:rsidR="00873FE2" w:rsidRPr="00873FE2" w:rsidRDefault="00873FE2" w:rsidP="00870ADC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Vətəndaşların müraciət imkanlarının genişləndirilməsi və müraciətlərə baxılması işinin operativliyinin artırılması məqsədilə</w:t>
                  </w:r>
                  <w:r w:rsidR="00745652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 xml:space="preserve"> </w:t>
                  </w:r>
                  <w:r w:rsidR="00745652" w:rsidRPr="00745652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Azərbaycan Respublikasının İnsan Hüquqları üzrə Müvəkkili</w:t>
                  </w:r>
                  <w:r w:rsidR="00745652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nə</w:t>
                  </w:r>
                  <w:r w:rsidR="00745652" w:rsidRPr="00745652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 xml:space="preserve"> (Ombudsman</w:t>
                  </w:r>
                  <w:r w:rsidR="00745652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a</w:t>
                  </w:r>
                  <w:r w:rsidR="00745652" w:rsidRPr="00745652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 xml:space="preserve">) </w:t>
                  </w:r>
                  <w:r w:rsidR="00745652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müraciətlər</w:t>
                  </w:r>
                  <w:r w:rsidR="000C1396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 xml:space="preserve"> üzrə </w:t>
                  </w:r>
                  <w:r w:rsidR="00456484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 xml:space="preserve">vahid </w:t>
                  </w:r>
                  <w:r w:rsidR="00745652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qaynar xəttin yaradılması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 xml:space="preserve"> </w:t>
                  </w:r>
                </w:p>
              </w:tc>
              <w:tc>
                <w:tcPr>
                  <w:tcW w:w="2977" w:type="dxa"/>
                  <w:vAlign w:val="center"/>
                </w:tcPr>
                <w:p w14:paraId="14F73A68" w14:textId="2DEC0C20" w:rsidR="00873FE2" w:rsidRPr="00920BA4" w:rsidRDefault="00745652" w:rsidP="00870ADC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Qaynar xəttin yaradılması ilə əlaqədar tədbirlər</w:t>
                  </w:r>
                </w:p>
              </w:tc>
              <w:tc>
                <w:tcPr>
                  <w:tcW w:w="2977" w:type="dxa"/>
                  <w:vAlign w:val="center"/>
                </w:tcPr>
                <w:p w14:paraId="6B8876D4" w14:textId="3211156E" w:rsidR="00873FE2" w:rsidRDefault="00745652" w:rsidP="00870ADC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 xml:space="preserve">Tövsiyə edilir: </w:t>
                  </w:r>
                  <w:r w:rsidRPr="00745652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Azərbaycan Respublikasının İnsan Hüquqları üzrə Müvəkkili (Ombudsman)</w:t>
                  </w:r>
                </w:p>
              </w:tc>
              <w:tc>
                <w:tcPr>
                  <w:tcW w:w="1417" w:type="dxa"/>
                  <w:vAlign w:val="center"/>
                </w:tcPr>
                <w:p w14:paraId="6D43950E" w14:textId="115403C6" w:rsidR="00873FE2" w:rsidRPr="00A46199" w:rsidRDefault="00745652" w:rsidP="00870ADC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2020</w:t>
                  </w:r>
                </w:p>
              </w:tc>
            </w:tr>
            <w:tr w:rsidR="00870ADC" w:rsidRPr="004A2FAC" w14:paraId="19305E24" w14:textId="77777777" w:rsidTr="00382FC9">
              <w:trPr>
                <w:trHeight w:val="610"/>
                <w:jc w:val="center"/>
              </w:trPr>
              <w:tc>
                <w:tcPr>
                  <w:tcW w:w="993" w:type="dxa"/>
                  <w:vAlign w:val="center"/>
                </w:tcPr>
                <w:p w14:paraId="785D3D04" w14:textId="03D545FE" w:rsidR="00870ADC" w:rsidRPr="0019235C" w:rsidRDefault="00592B6B" w:rsidP="00870ADC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1</w:t>
                  </w:r>
                  <w:r w:rsidR="00870ADC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.</w:t>
                  </w:r>
                  <w:r w:rsidR="004F3570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9</w:t>
                  </w:r>
                  <w:r w:rsidR="00870ADC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.</w:t>
                  </w:r>
                </w:p>
              </w:tc>
              <w:tc>
                <w:tcPr>
                  <w:tcW w:w="7087" w:type="dxa"/>
                  <w:vAlign w:val="center"/>
                </w:tcPr>
                <w:p w14:paraId="2BFAB206" w14:textId="77777777" w:rsidR="00870ADC" w:rsidRPr="00920BA4" w:rsidRDefault="00870ADC" w:rsidP="00870ADC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z-Latn-AZ" w:eastAsia="ru-RU"/>
                    </w:rPr>
                  </w:pPr>
                  <w:r w:rsidRPr="00920BA4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 xml:space="preserve">Dövlət qurumları tərəfindən etik davranış məsələləri ilə bağlı aparılmış maarifləndirmə işləri, etik davranış qaydalarının pozulması halları və 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 xml:space="preserve">buna görə </w:t>
                  </w:r>
                  <w:r w:rsidRPr="00920BA4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 xml:space="preserve">tətbiq edilmiş intizam tənbehi tədbirləri barədə 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 xml:space="preserve">illik </w:t>
                  </w:r>
                  <w:r w:rsidRPr="00920BA4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hesabat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lar</w:t>
                  </w:r>
                  <w:r w:rsidRPr="00920BA4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ın hazırlanması və rəsmi internet səhifələr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in</w:t>
                  </w:r>
                  <w:r w:rsidRPr="00920BA4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də yerləşdirilməsi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 xml:space="preserve"> </w:t>
                  </w:r>
                </w:p>
              </w:tc>
              <w:tc>
                <w:tcPr>
                  <w:tcW w:w="2977" w:type="dxa"/>
                  <w:vAlign w:val="center"/>
                </w:tcPr>
                <w:p w14:paraId="4B8C557D" w14:textId="77777777" w:rsidR="00870ADC" w:rsidRPr="00920BA4" w:rsidRDefault="00870ADC" w:rsidP="00870ADC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val="az-Latn-AZ" w:eastAsia="ru-RU"/>
                    </w:rPr>
                  </w:pPr>
                  <w:r w:rsidRPr="00920BA4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Dövlət qurumlar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ı</w:t>
                  </w:r>
                  <w:r w:rsidRPr="00920BA4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 xml:space="preserve"> tərəfindən etik davranış məsələləri üzrə hazırlan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an</w:t>
                  </w:r>
                  <w:r w:rsidRPr="00920BA4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 xml:space="preserve"> illik hesabatların rəsmi </w:t>
                  </w:r>
                  <w:r w:rsidRPr="00920BA4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lastRenderedPageBreak/>
                    <w:t>internet səhifələrində yerləşdirilməsi</w:t>
                  </w:r>
                </w:p>
              </w:tc>
              <w:tc>
                <w:tcPr>
                  <w:tcW w:w="2977" w:type="dxa"/>
                  <w:vAlign w:val="center"/>
                </w:tcPr>
                <w:p w14:paraId="61B876EC" w14:textId="77777777" w:rsidR="00870ADC" w:rsidRPr="00920BA4" w:rsidRDefault="00870ADC" w:rsidP="00870ADC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lastRenderedPageBreak/>
                    <w:t>İcraçılar: Mərkəzi və icra hakimiyyəti orqanları, dövlət adından yaradılmış publik hüquqi şəxslər</w:t>
                  </w:r>
                </w:p>
              </w:tc>
              <w:tc>
                <w:tcPr>
                  <w:tcW w:w="1417" w:type="dxa"/>
                  <w:vAlign w:val="center"/>
                </w:tcPr>
                <w:p w14:paraId="7CB725C1" w14:textId="77777777" w:rsidR="00870ADC" w:rsidRPr="004A2FAC" w:rsidRDefault="00870ADC" w:rsidP="00870ADC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</w:pPr>
                  <w:r w:rsidRPr="004A2FAC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2020-2022</w:t>
                  </w:r>
                </w:p>
              </w:tc>
            </w:tr>
            <w:tr w:rsidR="00870ADC" w:rsidRPr="004A2FAC" w14:paraId="55BC5D12" w14:textId="77777777" w:rsidTr="00382FC9">
              <w:trPr>
                <w:trHeight w:val="610"/>
                <w:jc w:val="center"/>
              </w:trPr>
              <w:tc>
                <w:tcPr>
                  <w:tcW w:w="993" w:type="dxa"/>
                  <w:vAlign w:val="center"/>
                </w:tcPr>
                <w:p w14:paraId="6F985CD3" w14:textId="7888C90E" w:rsidR="00870ADC" w:rsidRPr="0019235C" w:rsidRDefault="00592B6B" w:rsidP="00870ADC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1</w:t>
                  </w:r>
                  <w:r w:rsidR="00870ADC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.1</w:t>
                  </w:r>
                  <w:r w:rsidR="004F3570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0</w:t>
                  </w:r>
                  <w:r w:rsidR="00870ADC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.</w:t>
                  </w:r>
                </w:p>
              </w:tc>
              <w:tc>
                <w:tcPr>
                  <w:tcW w:w="7087" w:type="dxa"/>
                  <w:vAlign w:val="center"/>
                </w:tcPr>
                <w:p w14:paraId="432DEB03" w14:textId="77777777" w:rsidR="00870ADC" w:rsidRPr="00920BA4" w:rsidRDefault="00870ADC" w:rsidP="00870ADC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</w:pPr>
                  <w:r w:rsidRPr="00920BA4">
                    <w:rPr>
                      <w:rFonts w:ascii="Arial" w:hAnsi="Arial" w:cs="Arial"/>
                      <w:color w:val="000000"/>
                      <w:sz w:val="24"/>
                      <w:szCs w:val="24"/>
                      <w:lang w:val="az-Latn-AZ"/>
                    </w:rPr>
                    <w:t>Açıq hökumət və korrupsiyaya qarşı mübarizə sahəsində ixtisaslaşan beynəlxalq təşkilatlar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lang w:val="az-Latn-AZ"/>
                    </w:rPr>
                    <w:t>la</w:t>
                  </w:r>
                  <w:r w:rsidRPr="00920BA4">
                    <w:rPr>
                      <w:rFonts w:ascii="Arial" w:hAnsi="Arial" w:cs="Arial"/>
                      <w:color w:val="000000"/>
                      <w:sz w:val="24"/>
                      <w:szCs w:val="24"/>
                      <w:lang w:val="az-Latn-AZ"/>
                    </w:rPr>
                    <w:t xml:space="preserve"> əməkdaşlı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lang w:val="az-Latn-AZ"/>
                    </w:rPr>
                    <w:t>ğın inkişaf etdirilməsi</w:t>
                  </w:r>
                </w:p>
              </w:tc>
              <w:tc>
                <w:tcPr>
                  <w:tcW w:w="2977" w:type="dxa"/>
                  <w:vAlign w:val="center"/>
                </w:tcPr>
                <w:p w14:paraId="539D9C58" w14:textId="77777777" w:rsidR="00870ADC" w:rsidRPr="002B7A21" w:rsidRDefault="00870ADC" w:rsidP="00870ADC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  <w:highlight w:val="yellow"/>
                      <w:lang w:val="az-Latn-AZ" w:eastAsia="ru-RU"/>
                    </w:rPr>
                  </w:pPr>
                  <w:r w:rsidRPr="002806CD">
                    <w:rPr>
                      <w:rFonts w:ascii="Arial" w:hAnsi="Arial" w:cs="Arial"/>
                      <w:color w:val="000000"/>
                      <w:sz w:val="24"/>
                      <w:szCs w:val="24"/>
                      <w:lang w:val="az-Latn-AZ"/>
                    </w:rPr>
                    <w:t xml:space="preserve">Əməkdaşlıq çərçivəsində 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  <w:lang w:val="az-Latn-AZ"/>
                    </w:rPr>
                    <w:t>həyata keçirilən tədbirlər</w:t>
                  </w:r>
                  <w:r w:rsidRPr="002806CD">
                    <w:rPr>
                      <w:rFonts w:ascii="Arial" w:hAnsi="Arial" w:cs="Arial"/>
                      <w:color w:val="000000"/>
                      <w:sz w:val="24"/>
                      <w:szCs w:val="24"/>
                      <w:lang w:val="az-Latn-AZ"/>
                    </w:rPr>
                    <w:t xml:space="preserve"> </w:t>
                  </w:r>
                </w:p>
              </w:tc>
              <w:tc>
                <w:tcPr>
                  <w:tcW w:w="2977" w:type="dxa"/>
                  <w:vAlign w:val="center"/>
                </w:tcPr>
                <w:p w14:paraId="6083B608" w14:textId="77777777" w:rsidR="00870ADC" w:rsidRPr="00920BA4" w:rsidRDefault="00870ADC" w:rsidP="00870ADC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Tövsiyə edilir: Baş Prokurorluq, Korrupsiyaya qarşı mübarizə üzrə Komissiya</w:t>
                  </w:r>
                </w:p>
              </w:tc>
              <w:tc>
                <w:tcPr>
                  <w:tcW w:w="1417" w:type="dxa"/>
                  <w:vAlign w:val="center"/>
                </w:tcPr>
                <w:p w14:paraId="37EB377C" w14:textId="77777777" w:rsidR="00870ADC" w:rsidRPr="004A2FAC" w:rsidRDefault="00870ADC" w:rsidP="00870ADC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</w:pPr>
                  <w:r w:rsidRPr="004A2FAC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2020-2022</w:t>
                  </w:r>
                </w:p>
              </w:tc>
            </w:tr>
            <w:tr w:rsidR="00870ADC" w:rsidRPr="0049676B" w14:paraId="6BB4125C" w14:textId="77777777" w:rsidTr="00882218">
              <w:trPr>
                <w:trHeight w:val="2734"/>
                <w:jc w:val="center"/>
              </w:trPr>
              <w:tc>
                <w:tcPr>
                  <w:tcW w:w="15451" w:type="dxa"/>
                  <w:gridSpan w:val="5"/>
                  <w:vAlign w:val="center"/>
                </w:tcPr>
                <w:tbl>
                  <w:tblPr>
                    <w:tblW w:w="15446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88"/>
                    <w:gridCol w:w="7087"/>
                    <w:gridCol w:w="2977"/>
                    <w:gridCol w:w="2977"/>
                    <w:gridCol w:w="1417"/>
                  </w:tblGrid>
                  <w:tr w:rsidR="00870ADC" w:rsidRPr="00870ADC" w14:paraId="7B565F8F" w14:textId="77777777" w:rsidTr="002B7812">
                    <w:trPr>
                      <w:trHeight w:val="642"/>
                      <w:jc w:val="center"/>
                    </w:trPr>
                    <w:tc>
                      <w:tcPr>
                        <w:tcW w:w="15446" w:type="dxa"/>
                        <w:gridSpan w:val="5"/>
                        <w:tc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873537A" w14:textId="6157995D" w:rsidR="00870ADC" w:rsidRPr="00C62DD8" w:rsidRDefault="00870ADC" w:rsidP="00873FE2">
                        <w:pPr>
                          <w:pStyle w:val="ListParagraph"/>
                          <w:numPr>
                            <w:ilvl w:val="0"/>
                            <w:numId w:val="17"/>
                          </w:num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C62DD8"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Maliyyə şəffaflığının təmin edilməsi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  <w:lang w:eastAsia="ru-RU"/>
                          </w:rPr>
                          <w:t>sahəsində tədbirlər</w:t>
                        </w:r>
                      </w:p>
                    </w:tc>
                  </w:tr>
                  <w:tr w:rsidR="00870ADC" w:rsidRPr="00086864" w14:paraId="09487083" w14:textId="77777777" w:rsidTr="002B7812">
                    <w:trPr>
                      <w:trHeight w:val="193"/>
                      <w:jc w:val="center"/>
                    </w:trPr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B9CF50C" w14:textId="36F877AF" w:rsidR="00870ADC" w:rsidRPr="0019235C" w:rsidRDefault="00592B6B" w:rsidP="00870ADC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az-Latn-AZ"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az-Latn-AZ" w:eastAsia="ru-RU"/>
                          </w:rPr>
                          <w:t>2</w:t>
                        </w:r>
                        <w:r w:rsidR="00870AD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az-Latn-AZ" w:eastAsia="ru-RU"/>
                          </w:rPr>
                          <w:t>.1.</w:t>
                        </w:r>
                      </w:p>
                    </w:tc>
                    <w:tc>
                      <w:tcPr>
                        <w:tcW w:w="708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F71B031" w14:textId="57A6046F" w:rsidR="00870ADC" w:rsidRPr="00A81906" w:rsidRDefault="001441BF" w:rsidP="00870ADC">
                        <w:pPr>
                          <w:spacing w:after="0" w:line="240" w:lineRule="auto"/>
                          <w:contextualSpacing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az-Latn-AZ"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az-Latn-AZ" w:eastAsia="ru-RU"/>
                          </w:rPr>
                          <w:t>D</w:t>
                        </w:r>
                        <w:r w:rsidR="00870ADC" w:rsidRPr="00A8190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az-Latn-AZ" w:eastAsia="ru-RU"/>
                          </w:rPr>
                          <w:t>övlət büdcəsinin və icmal büdcənin layihə</w:t>
                        </w:r>
                        <w:r w:rsidR="00A8190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az-Latn-AZ" w:eastAsia="ru-RU"/>
                          </w:rPr>
                          <w:t>lər</w:t>
                        </w:r>
                        <w:r w:rsidR="00870ADC" w:rsidRPr="00A8190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az-Latn-AZ" w:eastAsia="ru-RU"/>
                          </w:rPr>
                          <w:t>i</w:t>
                        </w:r>
                        <w:r w:rsidR="00A8190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az-Latn-AZ" w:eastAsia="ru-RU"/>
                          </w:rPr>
                          <w:t>nin, habelə d</w:t>
                        </w:r>
                        <w:r w:rsidR="00A81906" w:rsidRPr="00A8190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az-Latn-AZ" w:eastAsia="ru-RU"/>
                          </w:rPr>
                          <w:t>övlət büdcəsinin icrası</w:t>
                        </w:r>
                        <w:r w:rsidR="00A8190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az-Latn-AZ" w:eastAsia="ru-RU"/>
                          </w:rPr>
                          <w:t xml:space="preserve"> ilə bağlı</w:t>
                        </w:r>
                        <w:r w:rsidR="00A81906" w:rsidRPr="00A8190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az-Latn-AZ" w:eastAsia="ru-RU"/>
                          </w:rPr>
                          <w:t xml:space="preserve"> hesabat</w:t>
                        </w:r>
                        <w:r w:rsidR="00A8190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az-Latn-AZ" w:eastAsia="ru-RU"/>
                          </w:rPr>
                          <w:t>lar</w:t>
                        </w:r>
                        <w:r w:rsidR="00A81906" w:rsidRPr="00A8190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az-Latn-AZ" w:eastAsia="ru-RU"/>
                          </w:rPr>
                          <w:t xml:space="preserve"> </w:t>
                        </w: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az-Latn-AZ" w:eastAsia="ru-RU"/>
                          </w:rPr>
                          <w:t xml:space="preserve">üzrə ictimai maarifləndirmə tədbirlərinin və şəffaflığın artırılması </w:t>
                        </w:r>
                      </w:p>
                      <w:p w14:paraId="178111AF" w14:textId="5D620F63" w:rsidR="00870ADC" w:rsidRPr="00A81906" w:rsidRDefault="00870ADC" w:rsidP="00870ADC">
                        <w:pPr>
                          <w:spacing w:after="0" w:line="240" w:lineRule="auto"/>
                          <w:contextualSpacing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az-Latn-AZ" w:eastAsia="ru-RU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6FFD68B" w14:textId="3AD6302F" w:rsidR="00870ADC" w:rsidRDefault="0049676B" w:rsidP="00870ADC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az-Latn-AZ"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az-Latn-AZ" w:eastAsia="ru-RU"/>
                          </w:rPr>
                          <w:t xml:space="preserve">İctimai </w:t>
                        </w: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az-Latn-AZ" w:eastAsia="ru-RU"/>
                          </w:rPr>
                          <w:t xml:space="preserve">maarifləndirmə </w:t>
                        </w:r>
                        <w:r w:rsidR="00A8190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az-Latn-AZ" w:eastAsia="ru-RU"/>
                          </w:rPr>
                          <w:t>ilə bağlı</w:t>
                        </w: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az-Latn-AZ" w:eastAsia="ru-RU"/>
                          </w:rPr>
                          <w:t xml:space="preserve"> keçirilən</w:t>
                        </w:r>
                        <w:bookmarkStart w:id="0" w:name="_GoBack"/>
                        <w:bookmarkEnd w:id="0"/>
                        <w:r w:rsidR="00A8190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az-Latn-AZ" w:eastAsia="ru-RU"/>
                          </w:rPr>
                          <w:t xml:space="preserve"> tədbirlər</w:t>
                        </w:r>
                      </w:p>
                      <w:p w14:paraId="4D901DCC" w14:textId="1A87CE3E" w:rsidR="00A81906" w:rsidRPr="00A81906" w:rsidRDefault="00A81906" w:rsidP="00870ADC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Arial" w:eastAsia="Times New Roman" w:hAnsi="Arial" w:cs="Arial"/>
                            <w:bCs/>
                            <w:sz w:val="24"/>
                            <w:szCs w:val="24"/>
                            <w:lang w:val="az-Latn-AZ" w:eastAsia="ru-RU"/>
                          </w:rPr>
                        </w:pP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F50007E" w14:textId="77777777" w:rsidR="00870ADC" w:rsidRPr="00263DCB" w:rsidRDefault="00870ADC" w:rsidP="00870ADC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highlight w:val="yellow"/>
                            <w:lang w:val="az-Latn-AZ" w:eastAsia="ru-RU"/>
                          </w:rPr>
                        </w:pPr>
                        <w:r w:rsidRPr="00263DC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az-Latn-AZ" w:eastAsia="ru-RU"/>
                          </w:rPr>
                          <w:t>İcraçı: Maliyyə Nazirliyi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FBD3935" w14:textId="77777777" w:rsidR="00870ADC" w:rsidRPr="00086864" w:rsidRDefault="00870ADC" w:rsidP="00870ADC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highlight w:val="yellow"/>
                            <w:lang w:val="az-Latn-AZ" w:eastAsia="ru-RU"/>
                          </w:rPr>
                        </w:pPr>
                        <w:r w:rsidRPr="003D5D5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az-Latn-AZ" w:eastAsia="ru-RU"/>
                          </w:rPr>
                          <w:t>2020-2022</w:t>
                        </w:r>
                      </w:p>
                    </w:tc>
                  </w:tr>
                  <w:tr w:rsidR="00870ADC" w:rsidRPr="00FF1B58" w14:paraId="2796EA77" w14:textId="77777777" w:rsidTr="002B7812">
                    <w:trPr>
                      <w:trHeight w:val="183"/>
                      <w:jc w:val="center"/>
                    </w:trPr>
                    <w:tc>
                      <w:tcPr>
                        <w:tcW w:w="98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B11054A" w14:textId="25F8C6C1" w:rsidR="00870ADC" w:rsidRPr="0019235C" w:rsidRDefault="00592B6B" w:rsidP="00870ADC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az-Latn-AZ"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az-Latn-AZ" w:eastAsia="ru-RU"/>
                          </w:rPr>
                          <w:t>2</w:t>
                        </w:r>
                        <w:r w:rsidR="00870AD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az-Latn-AZ" w:eastAsia="ru-RU"/>
                          </w:rPr>
                          <w:t>.2.</w:t>
                        </w:r>
                      </w:p>
                    </w:tc>
                    <w:tc>
                      <w:tcPr>
                        <w:tcW w:w="708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704CE76" w14:textId="301FC0A3" w:rsidR="00A81906" w:rsidRPr="00A81906" w:rsidRDefault="00610439" w:rsidP="00A81906">
                        <w:pPr>
                          <w:spacing w:after="0" w:line="240" w:lineRule="auto"/>
                          <w:contextualSpacing/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  <w:lang w:val="az-Latn-AZ" w:eastAsia="ru-RU"/>
                          </w:rPr>
                        </w:pPr>
                        <w:r w:rsidRPr="00A81906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az-Latn-AZ" w:eastAsia="ru-RU"/>
                          </w:rPr>
                          <w:t>D</w:t>
                        </w:r>
                        <w:r w:rsidR="00870ADC" w:rsidRPr="00A81906">
                          <w:rPr>
                            <w:rFonts w:ascii="Arial" w:hAnsi="Arial" w:cs="Arial"/>
                            <w:sz w:val="24"/>
                            <w:szCs w:val="24"/>
                            <w:lang w:val="az-Latn-AZ"/>
                          </w:rPr>
                          <w:t xml:space="preserve">övlət büdcəsinin layihəsi ilə bağlı müzakirələrdə vətəndaş cəmiyyəti </w:t>
                        </w:r>
                        <w:r w:rsidRPr="00A81906">
                          <w:rPr>
                            <w:rFonts w:ascii="Arial" w:hAnsi="Arial" w:cs="Arial"/>
                            <w:sz w:val="24"/>
                            <w:szCs w:val="24"/>
                            <w:lang w:val="az-Latn-AZ"/>
                          </w:rPr>
                          <w:t>təsisatlarının</w:t>
                        </w:r>
                        <w:r w:rsidR="00870ADC" w:rsidRPr="00A81906">
                          <w:rPr>
                            <w:rFonts w:ascii="Arial" w:hAnsi="Arial" w:cs="Arial"/>
                            <w:sz w:val="24"/>
                            <w:szCs w:val="24"/>
                            <w:lang w:val="az-Latn-AZ"/>
                          </w:rPr>
                          <w:t xml:space="preserve"> iştirakının genişləndirilməsi</w:t>
                        </w:r>
                      </w:p>
                    </w:tc>
                    <w:tc>
                      <w:tcPr>
                        <w:tcW w:w="297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E7151E5" w14:textId="53CF77DC" w:rsidR="00870ADC" w:rsidRPr="00A81906" w:rsidRDefault="00A81906" w:rsidP="00870ADC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Arial" w:eastAsia="Times New Roman" w:hAnsi="Arial" w:cs="Arial"/>
                            <w:bCs/>
                            <w:sz w:val="24"/>
                            <w:szCs w:val="24"/>
                            <w:lang w:val="az-Latn-AZ" w:eastAsia="ru-RU"/>
                          </w:rPr>
                        </w:pPr>
                        <w:r w:rsidRPr="00A81906">
                          <w:rPr>
                            <w:rFonts w:ascii="Arial" w:eastAsia="Times New Roman" w:hAnsi="Arial" w:cs="Arial"/>
                            <w:bCs/>
                            <w:sz w:val="24"/>
                            <w:szCs w:val="24"/>
                            <w:lang w:val="az-Latn-AZ" w:eastAsia="ru-RU"/>
                          </w:rPr>
                          <w:t>Dövlət büdcəsinin layihəsi ilə bağlı keçirilən müzakirələr</w:t>
                        </w:r>
                      </w:p>
                    </w:tc>
                    <w:tc>
                      <w:tcPr>
                        <w:tcW w:w="297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A3E7F6D" w14:textId="77777777" w:rsidR="00A81906" w:rsidRDefault="00A81906" w:rsidP="00870ADC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az-Latn-AZ" w:eastAsia="ru-RU"/>
                          </w:rPr>
                        </w:pPr>
                        <w:r w:rsidRPr="00263DC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az-Latn-AZ" w:eastAsia="ru-RU"/>
                          </w:rPr>
                          <w:t>İcraçı: Maliyyə Nazirliyi</w:t>
                        </w: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az-Latn-AZ" w:eastAsia="ru-RU"/>
                          </w:rPr>
                          <w:t xml:space="preserve"> </w:t>
                        </w:r>
                      </w:p>
                      <w:p w14:paraId="59C5A183" w14:textId="77777777" w:rsidR="00A81906" w:rsidRDefault="00A81906" w:rsidP="00870ADC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az-Latn-AZ" w:eastAsia="ru-RU"/>
                          </w:rPr>
                        </w:pPr>
                      </w:p>
                      <w:p w14:paraId="4C5F8D8A" w14:textId="3AAB5416" w:rsidR="00870ADC" w:rsidRPr="00086864" w:rsidRDefault="00FF1B58" w:rsidP="00870ADC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  <w:highlight w:val="yellow"/>
                            <w:lang w:val="az-Latn-AZ"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az-Latn-AZ" w:eastAsia="ru-RU"/>
                          </w:rPr>
                          <w:t xml:space="preserve">Tövsiyə edilir: </w:t>
                        </w:r>
                        <w:r w:rsidRPr="00FF1B58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az-Latn-AZ" w:eastAsia="ru-RU"/>
                          </w:rPr>
                          <w:t>Milli Məclis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8C5CEB0" w14:textId="14FD88A6" w:rsidR="00870ADC" w:rsidRPr="00086864" w:rsidRDefault="00FF1B58" w:rsidP="00870ADC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highlight w:val="yellow"/>
                            <w:lang w:val="az-Latn-AZ" w:eastAsia="ru-RU"/>
                          </w:rPr>
                        </w:pPr>
                        <w:r w:rsidRPr="003D5D5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az-Latn-AZ" w:eastAsia="ru-RU"/>
                          </w:rPr>
                          <w:t>2020-2022</w:t>
                        </w:r>
                      </w:p>
                    </w:tc>
                  </w:tr>
                  <w:tr w:rsidR="00870ADC" w:rsidRPr="00086864" w14:paraId="083C4747" w14:textId="77777777" w:rsidTr="002B7812">
                    <w:trPr>
                      <w:trHeight w:val="258"/>
                      <w:jc w:val="center"/>
                    </w:trPr>
                    <w:tc>
                      <w:tcPr>
                        <w:tcW w:w="988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ED90F2C" w14:textId="3135A828" w:rsidR="00870ADC" w:rsidRPr="0019235C" w:rsidRDefault="00592B6B" w:rsidP="00870ADC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az-Latn-AZ" w:eastAsia="ru-RU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az-Latn-AZ" w:eastAsia="ru-RU"/>
                          </w:rPr>
                          <w:t>2</w:t>
                        </w:r>
                        <w:r w:rsidR="00870AD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az-Latn-AZ" w:eastAsia="ru-RU"/>
                          </w:rPr>
                          <w:t>.</w:t>
                        </w:r>
                        <w:r w:rsidR="001441BF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az-Latn-AZ" w:eastAsia="ru-RU"/>
                          </w:rPr>
                          <w:t>3</w:t>
                        </w:r>
                        <w:r w:rsidR="00870ADC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az-Latn-AZ" w:eastAsia="ru-RU"/>
                          </w:rPr>
                          <w:t>.</w:t>
                        </w:r>
                      </w:p>
                    </w:tc>
                    <w:tc>
                      <w:tcPr>
                        <w:tcW w:w="708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827E02D" w14:textId="2AE3FBEA" w:rsidR="00870ADC" w:rsidRPr="00920BA4" w:rsidRDefault="00870ADC" w:rsidP="00870ADC">
                        <w:pPr>
                          <w:spacing w:after="0" w:line="240" w:lineRule="auto"/>
                          <w:contextualSpacing/>
                          <w:rPr>
                            <w:rFonts w:ascii="Arial" w:eastAsia="Times New Roman" w:hAnsi="Arial" w:cs="Arial"/>
                            <w:b/>
                            <w:sz w:val="24"/>
                            <w:szCs w:val="24"/>
                            <w:lang w:val="az-Latn-AZ" w:eastAsia="ru-RU"/>
                          </w:rPr>
                        </w:pPr>
                        <w:r w:rsidRPr="00920BA4">
                          <w:rPr>
                            <w:rFonts w:ascii="Arial" w:hAnsi="Arial" w:cs="Arial"/>
                            <w:sz w:val="24"/>
                            <w:szCs w:val="24"/>
                            <w:lang w:val="az-Latn-AZ"/>
                          </w:rPr>
                          <w:t>Dövlət maliyyə nəzarətinin həyata keçirilməsində informasiya texnologiyalarının tətbiqi</w:t>
                        </w:r>
                        <w:r w:rsidR="00A81906">
                          <w:rPr>
                            <w:rFonts w:ascii="Arial" w:hAnsi="Arial" w:cs="Arial"/>
                            <w:sz w:val="24"/>
                            <w:szCs w:val="24"/>
                            <w:lang w:val="az-Latn-AZ"/>
                          </w:rPr>
                          <w:t>nin genişləndirilməsi</w:t>
                        </w:r>
                        <w:r w:rsidRPr="00920BA4">
                          <w:rPr>
                            <w:rFonts w:ascii="Arial" w:hAnsi="Arial" w:cs="Arial"/>
                            <w:sz w:val="24"/>
                            <w:szCs w:val="24"/>
                            <w:lang w:val="az-Latn-AZ"/>
                          </w:rPr>
                          <w:t xml:space="preserve"> və elektron nəzarət</w:t>
                        </w:r>
                        <w:r w:rsidR="00A81906">
                          <w:rPr>
                            <w:rFonts w:ascii="Arial" w:hAnsi="Arial" w:cs="Arial"/>
                            <w:sz w:val="24"/>
                            <w:szCs w:val="24"/>
                            <w:lang w:val="az-Latn-AZ"/>
                          </w:rPr>
                          <w:t xml:space="preserve"> tədbirlərinin</w:t>
                        </w:r>
                        <w:r w:rsidRPr="00920BA4">
                          <w:rPr>
                            <w:rFonts w:ascii="Arial" w:hAnsi="Arial" w:cs="Arial"/>
                            <w:sz w:val="24"/>
                            <w:szCs w:val="24"/>
                            <w:lang w:val="az-Latn-AZ"/>
                          </w:rPr>
                          <w:t xml:space="preserve"> təkmilləşdirilməsi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2CD00C58" w14:textId="07440000" w:rsidR="00870ADC" w:rsidRPr="00920BA4" w:rsidRDefault="00870ADC" w:rsidP="00A81906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  <w:lang w:val="az-Latn-AZ"/>
                          </w:rPr>
                        </w:pPr>
                        <w:r w:rsidRPr="00920BA4">
                          <w:rPr>
                            <w:rFonts w:ascii="Arial" w:hAnsi="Arial" w:cs="Arial"/>
                            <w:sz w:val="24"/>
                            <w:szCs w:val="24"/>
                            <w:lang w:val="az-Latn-AZ"/>
                          </w:rPr>
                          <w:t xml:space="preserve">Dövlət maliyyə nəzarətinin təkmilləşdirilməsi üzrə </w:t>
                        </w:r>
                        <w:r w:rsidR="00610439" w:rsidRPr="00920BA4">
                          <w:rPr>
                            <w:rFonts w:ascii="Arial" w:hAnsi="Arial" w:cs="Arial"/>
                            <w:sz w:val="24"/>
                            <w:szCs w:val="24"/>
                            <w:lang w:val="az-Latn-AZ"/>
                          </w:rPr>
                          <w:t>görülə</w:t>
                        </w:r>
                        <w:r w:rsidR="00610439">
                          <w:rPr>
                            <w:rFonts w:ascii="Arial" w:hAnsi="Arial" w:cs="Arial"/>
                            <w:sz w:val="24"/>
                            <w:szCs w:val="24"/>
                            <w:lang w:val="az-Latn-AZ"/>
                          </w:rPr>
                          <w:t>n</w:t>
                        </w:r>
                        <w:r w:rsidR="00610439" w:rsidRPr="00920BA4">
                          <w:rPr>
                            <w:rFonts w:ascii="Arial" w:hAnsi="Arial" w:cs="Arial"/>
                            <w:sz w:val="24"/>
                            <w:szCs w:val="24"/>
                            <w:lang w:val="az-Latn-AZ"/>
                          </w:rPr>
                          <w:t xml:space="preserve"> </w:t>
                        </w:r>
                        <w:r w:rsidRPr="00920BA4">
                          <w:rPr>
                            <w:rFonts w:ascii="Arial" w:hAnsi="Arial" w:cs="Arial"/>
                            <w:sz w:val="24"/>
                            <w:szCs w:val="24"/>
                            <w:lang w:val="az-Latn-AZ"/>
                          </w:rPr>
                          <w:t>tədbirlər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4765852" w14:textId="77777777" w:rsidR="00870ADC" w:rsidRDefault="00870ADC" w:rsidP="00870ADC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az-Latn-AZ" w:eastAsia="ru-RU"/>
                          </w:rPr>
                        </w:pPr>
                        <w:r w:rsidRPr="00263DC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az-Latn-AZ" w:eastAsia="ru-RU"/>
                          </w:rPr>
                          <w:t xml:space="preserve">İcraçılar: Maliyyə Nazirliyi, </w:t>
                        </w:r>
                        <w:r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az-Latn-AZ" w:eastAsia="ru-RU"/>
                          </w:rPr>
                          <w:t>İqtisadiyyat Nazirliyi</w:t>
                        </w:r>
                      </w:p>
                      <w:p w14:paraId="0B271F27" w14:textId="77777777" w:rsidR="00870ADC" w:rsidRDefault="00870ADC" w:rsidP="00870ADC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az-Latn-AZ" w:eastAsia="ru-RU"/>
                          </w:rPr>
                        </w:pPr>
                      </w:p>
                      <w:p w14:paraId="76E2DB14" w14:textId="77777777" w:rsidR="00870ADC" w:rsidRPr="00263DCB" w:rsidRDefault="00870ADC" w:rsidP="00870ADC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highlight w:val="yellow"/>
                            <w:lang w:val="az-Latn-AZ" w:eastAsia="ru-RU"/>
                          </w:rPr>
                        </w:pPr>
                        <w:r w:rsidRPr="00263DCB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az-Latn-AZ" w:eastAsia="ru-RU"/>
                          </w:rPr>
                          <w:t>Tövsiyə edilir: Hesablama Palatası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77FB8C24" w14:textId="77777777" w:rsidR="00870ADC" w:rsidRPr="00086864" w:rsidRDefault="00870ADC" w:rsidP="00870ADC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Arial" w:eastAsia="Times New Roman" w:hAnsi="Arial" w:cs="Arial"/>
                            <w:sz w:val="24"/>
                            <w:szCs w:val="24"/>
                            <w:highlight w:val="yellow"/>
                            <w:lang w:val="az-Latn-AZ" w:eastAsia="ru-RU"/>
                          </w:rPr>
                        </w:pPr>
                        <w:r w:rsidRPr="003D5D54">
                          <w:rPr>
                            <w:rFonts w:ascii="Arial" w:eastAsia="Times New Roman" w:hAnsi="Arial" w:cs="Arial"/>
                            <w:sz w:val="24"/>
                            <w:szCs w:val="24"/>
                            <w:lang w:val="az-Latn-AZ" w:eastAsia="ru-RU"/>
                          </w:rPr>
                          <w:t>2020-2022</w:t>
                        </w:r>
                      </w:p>
                    </w:tc>
                  </w:tr>
                </w:tbl>
                <w:p w14:paraId="364B7141" w14:textId="199C893C" w:rsidR="00870ADC" w:rsidRDefault="00870ADC" w:rsidP="00873FE2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B7A2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 xml:space="preserve"> Cinayət yolu ilə əldə edilmiş pul vəsaitlərinin və ya digər əmlakın leqallaşdırılmasına və</w:t>
                  </w:r>
                </w:p>
                <w:p w14:paraId="07448BCE" w14:textId="77777777" w:rsidR="00870ADC" w:rsidRPr="002B7A21" w:rsidRDefault="00870ADC" w:rsidP="00870ADC">
                  <w:pPr>
                    <w:pStyle w:val="ListParagraph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B7A21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>terrorçuluğun maliyyələşdirilməsinə qarşı mübarizə sahəsində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ru-RU"/>
                    </w:rPr>
                    <w:t xml:space="preserve"> tədbirlər</w:t>
                  </w:r>
                </w:p>
              </w:tc>
            </w:tr>
            <w:tr w:rsidR="00870ADC" w:rsidRPr="004A2FAC" w14:paraId="5A899542" w14:textId="77777777" w:rsidTr="00382FC9">
              <w:trPr>
                <w:trHeight w:val="610"/>
                <w:jc w:val="center"/>
              </w:trPr>
              <w:tc>
                <w:tcPr>
                  <w:tcW w:w="993" w:type="dxa"/>
                  <w:vAlign w:val="center"/>
                </w:tcPr>
                <w:p w14:paraId="763139EC" w14:textId="50B85A2F" w:rsidR="00870ADC" w:rsidRPr="0019235C" w:rsidRDefault="00592B6B" w:rsidP="00870ADC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3</w:t>
                  </w:r>
                  <w:r w:rsidR="00870ADC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.1.</w:t>
                  </w:r>
                </w:p>
              </w:tc>
              <w:tc>
                <w:tcPr>
                  <w:tcW w:w="7087" w:type="dxa"/>
                  <w:vAlign w:val="center"/>
                </w:tcPr>
                <w:p w14:paraId="5987FF28" w14:textId="3517512A" w:rsidR="00870ADC" w:rsidRDefault="00870ADC" w:rsidP="00870ADC">
                  <w:pPr>
                    <w:spacing w:after="0" w:line="240" w:lineRule="auto"/>
                    <w:contextualSpacing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  <w:t>Cinayət yolu ilə əldə edilmiş</w:t>
                  </w:r>
                  <w:r w:rsidRPr="007C25BF"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  <w:t xml:space="preserve"> pul vəsaitlərinin və ya digər əmlakın leqallaşdırılmasına və terrorçuluğun maliyyələşdirilməsinə qarşı mübarizə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  <w:t xml:space="preserve"> sisteminin risk qiymətləndirilməsinin (bundan sonra – risk qiymətləndirməsi) dövri qaydada keçirilməsini təmin etmək məqsədilə qanunvericiliyin təkmilləşdirilməsi </w:t>
                  </w:r>
                  <w:r w:rsidRPr="000A07EA"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  <w:t>və koordinasiya mexanizminin yaradılm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  <w:t>a</w:t>
                  </w:r>
                  <w:r w:rsidRPr="000A07EA"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  <w:t>sı</w:t>
                  </w:r>
                </w:p>
                <w:p w14:paraId="51547513" w14:textId="77777777" w:rsidR="00870ADC" w:rsidRDefault="00870ADC" w:rsidP="00870ADC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14:paraId="301C480C" w14:textId="77777777" w:rsidR="00870ADC" w:rsidRDefault="00870ADC" w:rsidP="00870ADC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Müvafiq normativ hüquqi aktın hazırlanması və qəbul edilməsi</w:t>
                  </w:r>
                </w:p>
              </w:tc>
              <w:tc>
                <w:tcPr>
                  <w:tcW w:w="2977" w:type="dxa"/>
                  <w:vAlign w:val="center"/>
                </w:tcPr>
                <w:p w14:paraId="410C308C" w14:textId="77777777" w:rsidR="00AE578B" w:rsidRDefault="00870ADC" w:rsidP="00870ADC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İcraçılar: Nazirlər Kabineti, Maliyyə Monitorinqi Xidməti, Ədliyyə Nazirliyi</w:t>
                  </w:r>
                </w:p>
                <w:p w14:paraId="5ADD7BE0" w14:textId="77777777" w:rsidR="00AE578B" w:rsidRDefault="00AE578B" w:rsidP="00870ADC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</w:pPr>
                </w:p>
                <w:p w14:paraId="4804CEA6" w14:textId="7DE62227" w:rsidR="00870ADC" w:rsidRDefault="00AE578B" w:rsidP="00870ADC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 xml:space="preserve">Tövsiyə edilir: </w:t>
                  </w:r>
                  <w:r w:rsidR="00870ADC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 xml:space="preserve"> Korrupsiyaya qarşı mübarizə üzrə Komissiya</w:t>
                  </w:r>
                </w:p>
              </w:tc>
              <w:tc>
                <w:tcPr>
                  <w:tcW w:w="1417" w:type="dxa"/>
                  <w:vAlign w:val="center"/>
                </w:tcPr>
                <w:p w14:paraId="7B788B6C" w14:textId="77777777" w:rsidR="00870ADC" w:rsidRPr="004A2FAC" w:rsidRDefault="00870ADC" w:rsidP="00870ADC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</w:pPr>
                  <w:r w:rsidRPr="003D5D54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2020</w:t>
                  </w:r>
                </w:p>
              </w:tc>
            </w:tr>
            <w:tr w:rsidR="00870ADC" w:rsidRPr="004A2FAC" w14:paraId="6FD38552" w14:textId="77777777" w:rsidTr="00382FC9">
              <w:trPr>
                <w:trHeight w:val="610"/>
                <w:jc w:val="center"/>
              </w:trPr>
              <w:tc>
                <w:tcPr>
                  <w:tcW w:w="993" w:type="dxa"/>
                  <w:vAlign w:val="center"/>
                </w:tcPr>
                <w:p w14:paraId="6B2FFBE3" w14:textId="06D13C6A" w:rsidR="00870ADC" w:rsidRPr="0019235C" w:rsidRDefault="00592B6B" w:rsidP="00870ADC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3</w:t>
                  </w:r>
                  <w:r w:rsidR="00870ADC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.2.</w:t>
                  </w:r>
                </w:p>
              </w:tc>
              <w:tc>
                <w:tcPr>
                  <w:tcW w:w="7087" w:type="dxa"/>
                  <w:vAlign w:val="center"/>
                </w:tcPr>
                <w:p w14:paraId="2ADF176C" w14:textId="77777777" w:rsidR="00870ADC" w:rsidRDefault="00870ADC" w:rsidP="00870ADC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  <w:t xml:space="preserve">Risk qiymətləndirilməsinin </w:t>
                  </w:r>
                  <w:r w:rsidRPr="008637B6"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  <w:t>keçirilməsi üçün zəruri olan metodologiyanı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  <w:t>n</w:t>
                  </w:r>
                  <w:r w:rsidRPr="008637B6"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  <w:t xml:space="preserve"> müəyyən e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  <w:t>dilməsi</w:t>
                  </w:r>
                </w:p>
              </w:tc>
              <w:tc>
                <w:tcPr>
                  <w:tcW w:w="2977" w:type="dxa"/>
                  <w:vAlign w:val="center"/>
                </w:tcPr>
                <w:p w14:paraId="4B9249B3" w14:textId="77777777" w:rsidR="00870ADC" w:rsidRDefault="00870ADC" w:rsidP="00870ADC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Metodologiyanın seçilməsi ilə bağlı görülən tədbirlər</w:t>
                  </w:r>
                </w:p>
              </w:tc>
              <w:tc>
                <w:tcPr>
                  <w:tcW w:w="2977" w:type="dxa"/>
                  <w:vAlign w:val="center"/>
                </w:tcPr>
                <w:p w14:paraId="46222C19" w14:textId="79E5DFBA" w:rsidR="00870ADC" w:rsidRDefault="00870ADC" w:rsidP="00870ADC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İcraçı: Maliyyə Monitorinqi Xidməti</w:t>
                  </w:r>
                </w:p>
                <w:p w14:paraId="28028D48" w14:textId="77777777" w:rsidR="00870ADC" w:rsidRDefault="00870ADC" w:rsidP="00870ADC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04F2C09A" w14:textId="77777777" w:rsidR="00870ADC" w:rsidRPr="004A2FAC" w:rsidRDefault="00870ADC" w:rsidP="00870ADC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</w:pPr>
                  <w:r w:rsidRPr="003D5D54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2020</w:t>
                  </w:r>
                </w:p>
              </w:tc>
            </w:tr>
            <w:tr w:rsidR="00870ADC" w:rsidRPr="004A2FAC" w14:paraId="7ACFFE81" w14:textId="77777777" w:rsidTr="006A40F5">
              <w:trPr>
                <w:trHeight w:val="1175"/>
                <w:jc w:val="center"/>
              </w:trPr>
              <w:tc>
                <w:tcPr>
                  <w:tcW w:w="993" w:type="dxa"/>
                  <w:vAlign w:val="center"/>
                </w:tcPr>
                <w:p w14:paraId="20AE8F88" w14:textId="4CD354DC" w:rsidR="00870ADC" w:rsidRPr="0019235C" w:rsidRDefault="00592B6B" w:rsidP="00870ADC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lastRenderedPageBreak/>
                    <w:t>3</w:t>
                  </w:r>
                  <w:r w:rsidR="00870ADC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.3.</w:t>
                  </w:r>
                </w:p>
              </w:tc>
              <w:tc>
                <w:tcPr>
                  <w:tcW w:w="7087" w:type="dxa"/>
                  <w:vAlign w:val="center"/>
                </w:tcPr>
                <w:p w14:paraId="63C507E1" w14:textId="77777777" w:rsidR="00870ADC" w:rsidRDefault="00870ADC" w:rsidP="00870ADC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  <w:t>Risk qiymətləndirilməsi</w:t>
                  </w:r>
                  <w:r w:rsidRPr="008637B6"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  <w:t xml:space="preserve"> üçün zəruri olan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  <w:t xml:space="preserve"> statistik və digər zəruri məlumatların maliyyə monitorinqi orqanına təqdim edilməsi və ümumiləşdirilməsi</w:t>
                  </w:r>
                </w:p>
              </w:tc>
              <w:tc>
                <w:tcPr>
                  <w:tcW w:w="2977" w:type="dxa"/>
                  <w:vAlign w:val="center"/>
                </w:tcPr>
                <w:p w14:paraId="18CC3AC7" w14:textId="77777777" w:rsidR="00870ADC" w:rsidRDefault="00870ADC" w:rsidP="00870ADC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Məlumatlardan risk qiymətləndirməsinin keçirilməsində istifadə edilməsi</w:t>
                  </w:r>
                </w:p>
                <w:p w14:paraId="6DF79751" w14:textId="77777777" w:rsidR="00870ADC" w:rsidRDefault="00870ADC" w:rsidP="00870ADC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14:paraId="4E74F303" w14:textId="77777777" w:rsidR="00870ADC" w:rsidRDefault="00870ADC" w:rsidP="00870ADC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İcraçılar:</w:t>
                  </w:r>
                </w:p>
                <w:p w14:paraId="779BAC34" w14:textId="3AD33D10" w:rsidR="00870ADC" w:rsidRDefault="00870ADC" w:rsidP="00870ADC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 xml:space="preserve">Maliyyə Monitorinqi Xidməti, </w:t>
                  </w:r>
                  <w:r w:rsidR="006A40F5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 xml:space="preserve">Dövlət Statistika Komitəsi, 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Daxili İşlər Nazirliyi və aidiyyəti dövlət qurumları</w:t>
                  </w:r>
                </w:p>
                <w:p w14:paraId="2A2A393C" w14:textId="77777777" w:rsidR="00870ADC" w:rsidRDefault="00870ADC" w:rsidP="00870ADC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</w:pPr>
                </w:p>
                <w:p w14:paraId="798E50AF" w14:textId="54DA50D3" w:rsidR="00870ADC" w:rsidRDefault="00870ADC" w:rsidP="006A40F5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Tövsiyə edilir: Baş Prokurorluq</w:t>
                  </w:r>
                </w:p>
              </w:tc>
              <w:tc>
                <w:tcPr>
                  <w:tcW w:w="1417" w:type="dxa"/>
                  <w:vAlign w:val="center"/>
                </w:tcPr>
                <w:p w14:paraId="63BA3D56" w14:textId="3DD58B3B" w:rsidR="00870ADC" w:rsidRPr="004A2FAC" w:rsidRDefault="00870ADC" w:rsidP="00870ADC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</w:pPr>
                  <w:r w:rsidRPr="003D5D54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2020</w:t>
                  </w:r>
                  <w:r w:rsidR="00CC42D6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-2022</w:t>
                  </w:r>
                </w:p>
              </w:tc>
            </w:tr>
            <w:tr w:rsidR="00870ADC" w:rsidRPr="004A2FAC" w14:paraId="26D221EE" w14:textId="77777777" w:rsidTr="00382FC9">
              <w:trPr>
                <w:trHeight w:val="610"/>
                <w:jc w:val="center"/>
              </w:trPr>
              <w:tc>
                <w:tcPr>
                  <w:tcW w:w="993" w:type="dxa"/>
                  <w:vAlign w:val="center"/>
                </w:tcPr>
                <w:p w14:paraId="18639B25" w14:textId="4E3E238D" w:rsidR="00870ADC" w:rsidRPr="0019235C" w:rsidRDefault="00592B6B" w:rsidP="00870ADC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3</w:t>
                  </w:r>
                  <w:r w:rsidR="00870ADC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.4.</w:t>
                  </w:r>
                </w:p>
              </w:tc>
              <w:tc>
                <w:tcPr>
                  <w:tcW w:w="7087" w:type="dxa"/>
                  <w:vAlign w:val="center"/>
                </w:tcPr>
                <w:p w14:paraId="40438CB8" w14:textId="6D357743" w:rsidR="00870ADC" w:rsidRDefault="00870ADC" w:rsidP="00870ADC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</w:pPr>
                  <w:r w:rsidRPr="007C25BF"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  <w:t xml:space="preserve">“Cinayət yolu ilə əldə edilmiş pul vəsaitlərinin və ya digər əmlakın leqallaşdırılmasına və terrorçuluğun maliyyələşdirilməsinə qarşı mübarizə haqqında” Azərbaycan Respublikası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  <w:t>Qanunu</w:t>
                  </w:r>
                  <w:r w:rsidR="000C1396"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  <w:t>na uyğun olaraq</w:t>
                  </w:r>
                  <w:r w:rsidRPr="007C25BF"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  <w:t xml:space="preserve"> müəyyən edilmiş nəzarət orqanları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  <w:t xml:space="preserve"> tərəfindən </w:t>
                  </w:r>
                  <w:r w:rsidRPr="007C25BF"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  <w:t>nəzarət etdikləri monitorinq iştirakçılarına və monitorinqdə iştirak edən digər şəxslərə münasibətdə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  <w:t xml:space="preserve"> illik sahəvi risk qiymətləndirilməsinin aparılması və nəticələri barədə maliyyə monitorinqi orqanının məlumatlandırılması</w:t>
                  </w:r>
                </w:p>
              </w:tc>
              <w:tc>
                <w:tcPr>
                  <w:tcW w:w="2977" w:type="dxa"/>
                  <w:vAlign w:val="center"/>
                </w:tcPr>
                <w:p w14:paraId="7A7A441C" w14:textId="77777777" w:rsidR="00870ADC" w:rsidRDefault="00870ADC" w:rsidP="00870ADC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Sahəvi risk qiymətləndirilməsi ilə əlaqədar təqdim edilən illik məlumatlar</w:t>
                  </w:r>
                </w:p>
              </w:tc>
              <w:tc>
                <w:tcPr>
                  <w:tcW w:w="2977" w:type="dxa"/>
                  <w:vAlign w:val="center"/>
                </w:tcPr>
                <w:p w14:paraId="3F93DB23" w14:textId="77777777" w:rsidR="00870ADC" w:rsidRPr="00E037ED" w:rsidRDefault="00870ADC" w:rsidP="00870ADC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 xml:space="preserve">İcraçılar: Maliyyə Nazirliyi, </w:t>
                  </w:r>
                  <w:r w:rsidRPr="00E037ED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Ədliyyə Nazirliyi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 xml:space="preserve">, İqtisadiyyat Nazirliyi, </w:t>
                  </w:r>
                  <w:r w:rsidRPr="00E037ED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Dini Qurumlarla İş üzrə Dövlət Komitəsi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, Maliyyə Monitorinqi Xidməti</w:t>
                  </w:r>
                </w:p>
                <w:p w14:paraId="264A9606" w14:textId="77777777" w:rsidR="00870ADC" w:rsidRDefault="00870ADC" w:rsidP="00870ADC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</w:pPr>
                </w:p>
                <w:p w14:paraId="166A2286" w14:textId="77777777" w:rsidR="00870ADC" w:rsidRDefault="00870ADC" w:rsidP="00870ADC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 xml:space="preserve">Tövsiyə edilir: Mərkəzi Bank, </w:t>
                  </w:r>
                  <w:r w:rsidRPr="00BF20F1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Auditorlar Palatası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,</w:t>
                  </w:r>
                  <w:r w:rsidRPr="00BF20F1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 xml:space="preserve"> Vəkillər Kollegiyası</w:t>
                  </w:r>
                </w:p>
              </w:tc>
              <w:tc>
                <w:tcPr>
                  <w:tcW w:w="1417" w:type="dxa"/>
                  <w:vAlign w:val="center"/>
                </w:tcPr>
                <w:p w14:paraId="00BB26F4" w14:textId="0207842E" w:rsidR="00870ADC" w:rsidRPr="004A2FAC" w:rsidRDefault="00870ADC" w:rsidP="00870ADC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2020</w:t>
                  </w:r>
                  <w:r w:rsidR="006A40F5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-2022</w:t>
                  </w:r>
                </w:p>
              </w:tc>
            </w:tr>
            <w:tr w:rsidR="00870ADC" w:rsidRPr="004A2FAC" w14:paraId="7BC25554" w14:textId="77777777" w:rsidTr="00382FC9">
              <w:trPr>
                <w:trHeight w:val="610"/>
                <w:jc w:val="center"/>
              </w:trPr>
              <w:tc>
                <w:tcPr>
                  <w:tcW w:w="993" w:type="dxa"/>
                  <w:vAlign w:val="center"/>
                </w:tcPr>
                <w:p w14:paraId="666C5F48" w14:textId="6C1C0F10" w:rsidR="00870ADC" w:rsidRPr="0019235C" w:rsidRDefault="00592B6B" w:rsidP="00870ADC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3</w:t>
                  </w:r>
                  <w:r w:rsidR="00870ADC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.5.</w:t>
                  </w:r>
                </w:p>
              </w:tc>
              <w:tc>
                <w:tcPr>
                  <w:tcW w:w="7087" w:type="dxa"/>
                  <w:vAlign w:val="center"/>
                </w:tcPr>
                <w:p w14:paraId="66903EDC" w14:textId="77777777" w:rsidR="00870ADC" w:rsidRDefault="00870ADC" w:rsidP="00870ADC">
                  <w:pPr>
                    <w:spacing w:after="0" w:line="240" w:lineRule="auto"/>
                    <w:contextualSpacing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 xml:space="preserve">Cinayət təqibi orqanları tərəfindən </w:t>
                  </w:r>
                  <w:r w:rsidRPr="00BF20F1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 xml:space="preserve">istintaq aidiyyətinə uyğun olaraq cinayət yolu ilə əldə edilmiş pul vəsaitlərinin və ya digər əmlakın leqallaşdırılmasına 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 xml:space="preserve">şərait yaradan </w:t>
                  </w:r>
                  <w:r w:rsidRPr="00BF20F1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cinayətlər üzrə illik əsasla risk qiymətləndir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ilməsinin</w:t>
                  </w:r>
                  <w:r w:rsidRPr="00BF20F1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 xml:space="preserve"> apar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ılmas</w:t>
                  </w:r>
                  <w:r w:rsidRPr="00BF20F1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ı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  <w:t>və nəticələri barədə maliyyə monitorinqi orqanının məlumatlandırılması</w:t>
                  </w:r>
                </w:p>
                <w:p w14:paraId="46C85D15" w14:textId="77777777" w:rsidR="00870ADC" w:rsidRDefault="00870ADC" w:rsidP="00870ADC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</w:pPr>
                </w:p>
              </w:tc>
              <w:tc>
                <w:tcPr>
                  <w:tcW w:w="2977" w:type="dxa"/>
                  <w:vAlign w:val="center"/>
                </w:tcPr>
                <w:p w14:paraId="0FA7BC55" w14:textId="77777777" w:rsidR="00870ADC" w:rsidRDefault="00870ADC" w:rsidP="00870ADC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Risk qiymətləndirilməsinin nəticələrinə dair təqdim edilən illik məlumatlar</w:t>
                  </w:r>
                </w:p>
              </w:tc>
              <w:tc>
                <w:tcPr>
                  <w:tcW w:w="2977" w:type="dxa"/>
                  <w:vAlign w:val="center"/>
                </w:tcPr>
                <w:p w14:paraId="30F0CA38" w14:textId="77777777" w:rsidR="00870ADC" w:rsidRPr="00E037ED" w:rsidRDefault="00870ADC" w:rsidP="00870ADC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 xml:space="preserve">İcraçılar: </w:t>
                  </w:r>
                  <w:r w:rsidRPr="00E864E7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Daxili İşlər Nazirliyi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 xml:space="preserve">, </w:t>
                  </w:r>
                  <w:r w:rsidRPr="00E864E7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Fövqəladə Hallar Nazirliyi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 xml:space="preserve">, </w:t>
                  </w:r>
                  <w:r w:rsidRPr="00E864E7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Ədliyyə Nazirliyi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 xml:space="preserve">, İqtisadiyyat Nazirliyi, </w:t>
                  </w:r>
                  <w:r w:rsidRPr="00E864E7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Dövlət Təhlükəsizliyi Xidməti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 xml:space="preserve">, </w:t>
                  </w:r>
                  <w:r w:rsidRPr="00E864E7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Dövlət Sərhəd Xidməti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,</w:t>
                  </w:r>
                  <w:r w:rsidRPr="00E864E7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 xml:space="preserve"> Dövlət Gömrük Komitəsi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, Maliyyə Monitorinqi Xidməti</w:t>
                  </w:r>
                </w:p>
                <w:p w14:paraId="208A88CF" w14:textId="77777777" w:rsidR="00870ADC" w:rsidRDefault="00870ADC" w:rsidP="00870ADC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</w:pPr>
                </w:p>
                <w:p w14:paraId="7DAF2518" w14:textId="77777777" w:rsidR="00870ADC" w:rsidRDefault="00870ADC" w:rsidP="00870ADC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Tövsiyə edilir: Baş Prokurorluq</w:t>
                  </w:r>
                </w:p>
              </w:tc>
              <w:tc>
                <w:tcPr>
                  <w:tcW w:w="1417" w:type="dxa"/>
                  <w:vAlign w:val="center"/>
                </w:tcPr>
                <w:p w14:paraId="432EF6E4" w14:textId="13A3F132" w:rsidR="00870ADC" w:rsidRPr="004A2FAC" w:rsidRDefault="00870ADC" w:rsidP="00870ADC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2020</w:t>
                  </w:r>
                  <w:r w:rsidR="006A40F5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-2022</w:t>
                  </w:r>
                </w:p>
              </w:tc>
            </w:tr>
            <w:tr w:rsidR="00870ADC" w:rsidRPr="004A2FAC" w14:paraId="6862DD8C" w14:textId="77777777" w:rsidTr="00382FC9">
              <w:trPr>
                <w:trHeight w:val="610"/>
                <w:jc w:val="center"/>
              </w:trPr>
              <w:tc>
                <w:tcPr>
                  <w:tcW w:w="993" w:type="dxa"/>
                  <w:vAlign w:val="center"/>
                </w:tcPr>
                <w:p w14:paraId="695062D0" w14:textId="7EAE509E" w:rsidR="00870ADC" w:rsidRPr="0019235C" w:rsidRDefault="00592B6B" w:rsidP="00870ADC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3</w:t>
                  </w:r>
                  <w:r w:rsidR="00870ADC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.6.</w:t>
                  </w:r>
                </w:p>
              </w:tc>
              <w:tc>
                <w:tcPr>
                  <w:tcW w:w="7087" w:type="dxa"/>
                  <w:vAlign w:val="center"/>
                </w:tcPr>
                <w:p w14:paraId="4BEBA399" w14:textId="77777777" w:rsidR="00870ADC" w:rsidRDefault="00870ADC" w:rsidP="00870ADC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  <w:t xml:space="preserve">Risk qiymətləndirilməsi </w:t>
                  </w:r>
                  <w:r w:rsidRPr="008637B6"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  <w:t>metodologiya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  <w:t>sı</w:t>
                  </w:r>
                  <w:r w:rsidRPr="008637B6"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  <w:t>n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  <w:t xml:space="preserve">a uyğun olaraq nağd pul əməliyyatlarından, idxal-ixrac əməliyyatlarından, qiymətli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  <w:lastRenderedPageBreak/>
                    <w:t>kağızlardan, daşınmaz əmlakdan, nəqliyyat vasitələrindən və hüquqi şəxslərdən cinayət yolu ilə əldə edilmiş</w:t>
                  </w:r>
                  <w:r w:rsidRPr="007C25BF"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  <w:t xml:space="preserve"> pul vəsaitlərinin və ya digər əmlakın leqallaşdırılması və terrorçuluğun maliyyələşdirilməsi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  <w:t xml:space="preserve"> məqsədləri üçün istifadə edilməsi risklərinin, trendlərinin və tipologiyalarının müəyyən edilməsi üçün illik təhlillərin aparılması </w:t>
                  </w:r>
                </w:p>
              </w:tc>
              <w:tc>
                <w:tcPr>
                  <w:tcW w:w="2977" w:type="dxa"/>
                  <w:vAlign w:val="center"/>
                </w:tcPr>
                <w:p w14:paraId="29EFFCD9" w14:textId="77777777" w:rsidR="00870ADC" w:rsidRDefault="00870ADC" w:rsidP="00870ADC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lastRenderedPageBreak/>
                    <w:t>Hazırlanmış təhlil sənədləri</w:t>
                  </w:r>
                </w:p>
              </w:tc>
              <w:tc>
                <w:tcPr>
                  <w:tcW w:w="2977" w:type="dxa"/>
                  <w:vAlign w:val="center"/>
                </w:tcPr>
                <w:p w14:paraId="76C3E99E" w14:textId="77777777" w:rsidR="00870ADC" w:rsidRDefault="00870ADC" w:rsidP="00870ADC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 xml:space="preserve">İcraçılar: Nazirlər Kabineti, İqtisadiyyat 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lastRenderedPageBreak/>
                    <w:t xml:space="preserve">Nazirliyi, </w:t>
                  </w:r>
                  <w:r w:rsidRPr="00E864E7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Daxili İşlər Nazirliyi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 xml:space="preserve">, </w:t>
                  </w:r>
                  <w:r w:rsidRPr="00E864E7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Ədliyyə Nazirliyi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 xml:space="preserve">, </w:t>
                  </w:r>
                  <w:r w:rsidRPr="00E864E7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Dövlət Gömrük Komitəsi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, Dövlət Təhlükəsizliyi Xidməti, Dini Qurumlarla İş Üzrə Dövlət Komitəsi</w:t>
                  </w:r>
                </w:p>
                <w:p w14:paraId="54E65BF7" w14:textId="77777777" w:rsidR="00870ADC" w:rsidRPr="00E037ED" w:rsidRDefault="00870ADC" w:rsidP="00870ADC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Maliyyə Monitorinqi Xidməti</w:t>
                  </w:r>
                </w:p>
                <w:p w14:paraId="2462FF74" w14:textId="77777777" w:rsidR="00870ADC" w:rsidRDefault="00870ADC" w:rsidP="00870ADC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</w:pPr>
                </w:p>
                <w:p w14:paraId="04EECE20" w14:textId="77777777" w:rsidR="00870ADC" w:rsidRDefault="00870ADC" w:rsidP="00870ADC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Tövsiyə edilir: Mərkəzi Bank, Milli Depozit Mərkəzi</w:t>
                  </w:r>
                </w:p>
              </w:tc>
              <w:tc>
                <w:tcPr>
                  <w:tcW w:w="1417" w:type="dxa"/>
                  <w:vAlign w:val="center"/>
                </w:tcPr>
                <w:p w14:paraId="586651F4" w14:textId="47B0F2D3" w:rsidR="00870ADC" w:rsidRPr="004A2FAC" w:rsidRDefault="00870ADC" w:rsidP="00870ADC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lastRenderedPageBreak/>
                    <w:t>2020</w:t>
                  </w:r>
                  <w:r w:rsidR="006A40F5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-2022</w:t>
                  </w:r>
                </w:p>
              </w:tc>
            </w:tr>
            <w:tr w:rsidR="00870ADC" w:rsidRPr="004A2FAC" w14:paraId="1E72FE91" w14:textId="77777777" w:rsidTr="00382FC9">
              <w:trPr>
                <w:trHeight w:val="2561"/>
                <w:jc w:val="center"/>
              </w:trPr>
              <w:tc>
                <w:tcPr>
                  <w:tcW w:w="993" w:type="dxa"/>
                  <w:vAlign w:val="center"/>
                </w:tcPr>
                <w:p w14:paraId="33DA30E2" w14:textId="42A11CCA" w:rsidR="00870ADC" w:rsidRPr="0019235C" w:rsidRDefault="00592B6B" w:rsidP="00870ADC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3</w:t>
                  </w:r>
                  <w:r w:rsidR="00870ADC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.7.</w:t>
                  </w:r>
                </w:p>
              </w:tc>
              <w:tc>
                <w:tcPr>
                  <w:tcW w:w="7087" w:type="dxa"/>
                  <w:vAlign w:val="center"/>
                </w:tcPr>
                <w:p w14:paraId="54920C97" w14:textId="77777777" w:rsidR="00870ADC" w:rsidRDefault="00870ADC" w:rsidP="00870ADC">
                  <w:pPr>
                    <w:spacing w:after="0" w:line="240" w:lineRule="auto"/>
                    <w:contextualSpacing/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  <w:t xml:space="preserve">Risk qiymətləndirilməsinin nəticələrinə dair </w:t>
                  </w:r>
                  <w:r w:rsidRPr="007C25BF"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  <w:t>hesabatları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  <w:t>n açıqlanması və hesabatlar barədə</w:t>
                  </w:r>
                  <w:r w:rsidRPr="007C25BF"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  <w:t xml:space="preserve"> aidiyyəti dövlət qurumlarını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  <w:t>n</w:t>
                  </w:r>
                  <w:r w:rsidRPr="007C25BF"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  <w:t xml:space="preserve">, “Cinayət yolu ilə əldə edilmiş pul vəsaitlərinin və ya digər əmlakın leqallaşdırılmasına və terrorçuluğun maliyyələşdirilməsinə qarşı mübarizə haqqında” Azərbaycan Respublikasının 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  <w:t>Qanunu ilə</w:t>
                  </w:r>
                  <w:r w:rsidRPr="007C25BF"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  <w:t xml:space="preserve"> müəyyən edilmiş nəzarət orqanlarını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  <w:t>n</w:t>
                  </w:r>
                  <w:r w:rsidRPr="007C25BF"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  <w:t>, monitorinq iştirakçıları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  <w:t>nın</w:t>
                  </w:r>
                  <w:r w:rsidRPr="007C25BF"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  <w:t xml:space="preserve"> və monitorinqdə iştirak edən digər şəxsləri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  <w:t>n</w:t>
                  </w:r>
                  <w:r w:rsidRPr="007C25BF"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  <w:t xml:space="preserve"> məlumatlandır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  <w:t>ılmas</w:t>
                  </w:r>
                  <w:r w:rsidRPr="007C25BF"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  <w:t>ı</w:t>
                  </w:r>
                </w:p>
              </w:tc>
              <w:tc>
                <w:tcPr>
                  <w:tcW w:w="2977" w:type="dxa"/>
                  <w:vAlign w:val="center"/>
                </w:tcPr>
                <w:p w14:paraId="01F9E96E" w14:textId="77777777" w:rsidR="00870ADC" w:rsidRDefault="00870ADC" w:rsidP="00870ADC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  <w:t xml:space="preserve">Risk qiymətləndirilməsinin nəticələri barədə məlumatlandırma tədbirləri </w:t>
                  </w:r>
                </w:p>
              </w:tc>
              <w:tc>
                <w:tcPr>
                  <w:tcW w:w="2977" w:type="dxa"/>
                  <w:vAlign w:val="center"/>
                </w:tcPr>
                <w:p w14:paraId="6B7CDC01" w14:textId="5C53A6A7" w:rsidR="00870ADC" w:rsidRPr="00E037ED" w:rsidRDefault="00870ADC" w:rsidP="00870ADC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İcraçı: Maliyyə Monitorinqi Xidməti</w:t>
                  </w:r>
                </w:p>
                <w:p w14:paraId="3010F14D" w14:textId="77777777" w:rsidR="00870ADC" w:rsidRDefault="00870ADC" w:rsidP="00870ADC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1505E6C6" w14:textId="39E8C70B" w:rsidR="00870ADC" w:rsidRPr="004A2FAC" w:rsidRDefault="00870ADC" w:rsidP="00870ADC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</w:pPr>
                  <w:r w:rsidRPr="003D5D54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2020</w:t>
                  </w:r>
                  <w:r w:rsidR="006A40F5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-2022</w:t>
                  </w:r>
                </w:p>
              </w:tc>
            </w:tr>
            <w:tr w:rsidR="00870ADC" w:rsidRPr="003D5D54" w14:paraId="56889AC5" w14:textId="77777777" w:rsidTr="00382FC9">
              <w:trPr>
                <w:trHeight w:val="1818"/>
                <w:jc w:val="center"/>
              </w:trPr>
              <w:tc>
                <w:tcPr>
                  <w:tcW w:w="993" w:type="dxa"/>
                  <w:vAlign w:val="center"/>
                </w:tcPr>
                <w:p w14:paraId="3C9CC2D7" w14:textId="08EEADF7" w:rsidR="00870ADC" w:rsidRPr="0019235C" w:rsidRDefault="00592B6B" w:rsidP="00870ADC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3</w:t>
                  </w:r>
                  <w:r w:rsidR="00870ADC"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.8.</w:t>
                  </w:r>
                </w:p>
              </w:tc>
              <w:tc>
                <w:tcPr>
                  <w:tcW w:w="7087" w:type="dxa"/>
                  <w:vAlign w:val="center"/>
                </w:tcPr>
                <w:p w14:paraId="64EB747D" w14:textId="77777777" w:rsidR="00870ADC" w:rsidRDefault="00870ADC" w:rsidP="00870ADC">
                  <w:pPr>
                    <w:spacing w:after="0" w:line="240" w:lineRule="auto"/>
                    <w:contextualSpacing/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</w:pPr>
                  <w:r w:rsidRPr="007C25BF"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  <w:t>Cinayət yolu ilə əldə edilmiş pul vəsaitlərinin və ya digər əmlakın leqallaşdırılmasına və terrorçuluğun maliyyələşdirilməsinə qarşı mübarizə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az-Latn-AZ"/>
                    </w:rPr>
                    <w:t xml:space="preserve"> sahəsində ixtisaslaşmış beynəlxalq təşkilatlarla əməkdaşlığın təmin edilməsi və həyata keçirilən qiymətləndirmə prosedurlarına hazırlığın təmin edilməsi məqsədilə müvafiq tədbirlər planının hazırlanması</w:t>
                  </w:r>
                </w:p>
              </w:tc>
              <w:tc>
                <w:tcPr>
                  <w:tcW w:w="2977" w:type="dxa"/>
                  <w:vAlign w:val="center"/>
                </w:tcPr>
                <w:p w14:paraId="37E0DD11" w14:textId="77777777" w:rsidR="00870ADC" w:rsidRDefault="00870ADC" w:rsidP="00870ADC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 xml:space="preserve">Tədbirlər planının qəbul edilməsi </w:t>
                  </w:r>
                </w:p>
              </w:tc>
              <w:tc>
                <w:tcPr>
                  <w:tcW w:w="2977" w:type="dxa"/>
                  <w:vAlign w:val="center"/>
                </w:tcPr>
                <w:p w14:paraId="40B12BDE" w14:textId="6BBA99F9" w:rsidR="00AE578B" w:rsidRDefault="00870ADC" w:rsidP="00CD4302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İcraçı: Nazirlər Kabineti, Maliyyə Monitorinqi Xidməti və aidiyyəti dövlət qurumları</w:t>
                  </w:r>
                </w:p>
                <w:p w14:paraId="00B82FE1" w14:textId="77777777" w:rsidR="00AE578B" w:rsidRDefault="00AE578B" w:rsidP="00CD4302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</w:pPr>
                </w:p>
                <w:p w14:paraId="26F3AFB9" w14:textId="77777777" w:rsidR="00382FC9" w:rsidRDefault="00AE578B" w:rsidP="00CD4302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Tövsiyə edilir: Korrupsiyaya qarşı mübarizə üzrə Komissiya</w:t>
                  </w:r>
                </w:p>
                <w:p w14:paraId="488DA01B" w14:textId="1D8C35AB" w:rsidR="00F925C5" w:rsidRDefault="00F925C5" w:rsidP="00CD4302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7C43F7DC" w14:textId="77777777" w:rsidR="00870ADC" w:rsidRPr="003D5D54" w:rsidRDefault="00870ADC" w:rsidP="00870ADC">
                  <w:pPr>
                    <w:spacing w:after="0" w:line="240" w:lineRule="auto"/>
                    <w:contextualSpacing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  <w:lang w:val="az-Latn-AZ" w:eastAsia="ru-RU"/>
                    </w:rPr>
                    <w:t>2020</w:t>
                  </w:r>
                </w:p>
              </w:tc>
            </w:tr>
          </w:tbl>
          <w:p w14:paraId="038D13EF" w14:textId="51A66E7A" w:rsidR="0019235C" w:rsidRPr="0019235C" w:rsidRDefault="00870ADC" w:rsidP="00873FE2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19235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="0019235C" w:rsidRPr="0019235C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Dövlət xidmətlərinin təkmilləşdirilməsi </w:t>
            </w:r>
            <w:r w:rsidR="001D022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sahəsində tədbirlər</w:t>
            </w:r>
          </w:p>
        </w:tc>
      </w:tr>
      <w:tr w:rsidR="0019235C" w:rsidRPr="001D43D6" w14:paraId="7932D805" w14:textId="77777777" w:rsidTr="004E09B7">
        <w:trPr>
          <w:trHeight w:val="355"/>
          <w:jc w:val="center"/>
        </w:trPr>
        <w:tc>
          <w:tcPr>
            <w:tcW w:w="988" w:type="dxa"/>
            <w:vAlign w:val="center"/>
          </w:tcPr>
          <w:p w14:paraId="4FBBDC62" w14:textId="28170251" w:rsidR="0019235C" w:rsidRPr="0019235C" w:rsidRDefault="00592B6B" w:rsidP="0053142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lastRenderedPageBreak/>
              <w:t>4</w:t>
            </w:r>
            <w:r w:rsidR="0019235C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.1.</w:t>
            </w:r>
          </w:p>
        </w:tc>
        <w:tc>
          <w:tcPr>
            <w:tcW w:w="7087" w:type="dxa"/>
            <w:vAlign w:val="center"/>
          </w:tcPr>
          <w:p w14:paraId="75026FBE" w14:textId="372D465E" w:rsidR="0019235C" w:rsidRPr="00920BA4" w:rsidRDefault="0019235C" w:rsidP="0019235C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 w:rsidRPr="00920BA4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Dövlət xidmətlərinin göstərilməsində səmərəliliyin artırılması </w:t>
            </w: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məqsədilə </w:t>
            </w:r>
            <w:r w:rsidRPr="00920BA4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xidmətlərin göstərilməsi </w:t>
            </w: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üçün </w:t>
            </w:r>
            <w:r w:rsidRPr="00920BA4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tələb edilən </w:t>
            </w: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sənədləri </w:t>
            </w:r>
            <w:r w:rsidRPr="00920BA4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elektron</w:t>
            </w: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 qaydada əldə etmək</w:t>
            </w:r>
            <w:r w:rsidRPr="00920BA4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, </w:t>
            </w: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habelə </w:t>
            </w:r>
            <w:r w:rsidRPr="00920BA4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dövlət orqanların</w:t>
            </w: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a</w:t>
            </w:r>
            <w:r w:rsidRPr="00920BA4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 </w:t>
            </w:r>
            <w:r w:rsidRPr="00920BA4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lastRenderedPageBreak/>
              <w:t xml:space="preserve">gəlmədən </w:t>
            </w:r>
            <w:r w:rsidR="00AF0DA1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həmin sənədləri </w:t>
            </w:r>
            <w:r w:rsidRPr="00920BA4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elektron formada təqdim etmək imkan</w:t>
            </w: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larının genişləndirilməsi </w:t>
            </w:r>
          </w:p>
        </w:tc>
        <w:tc>
          <w:tcPr>
            <w:tcW w:w="2977" w:type="dxa"/>
            <w:vAlign w:val="center"/>
          </w:tcPr>
          <w:p w14:paraId="7985CB8C" w14:textId="77777777" w:rsidR="0019235C" w:rsidRPr="00920BA4" w:rsidRDefault="0019235C" w:rsidP="0019235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 w:rsidRPr="00BB3A5D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lastRenderedPageBreak/>
              <w:t xml:space="preserve">Dövlət xidmətlərinin göstərilməsi ilə əlaqədar elektron qaydada əldə </w:t>
            </w:r>
            <w:r w:rsidRPr="00BB3A5D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lastRenderedPageBreak/>
              <w:t xml:space="preserve">edilən </w:t>
            </w:r>
            <w:r w:rsidR="00293ACB" w:rsidRPr="00BB3A5D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və təqdim edilən </w:t>
            </w:r>
            <w:r w:rsidRPr="00BB3A5D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sənədlərin sayı</w:t>
            </w:r>
          </w:p>
        </w:tc>
        <w:tc>
          <w:tcPr>
            <w:tcW w:w="2977" w:type="dxa"/>
            <w:vAlign w:val="center"/>
          </w:tcPr>
          <w:p w14:paraId="287ABF37" w14:textId="288F508C" w:rsidR="007B6DA0" w:rsidRPr="00920BA4" w:rsidRDefault="006A4FBC" w:rsidP="0088221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 w:rsidRPr="00920BA4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lastRenderedPageBreak/>
              <w:t xml:space="preserve">İcraçılar: </w:t>
            </w:r>
            <w:r w:rsidR="00C35FC0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Nazirlər Kabineti, </w:t>
            </w:r>
            <w:r w:rsidR="00AF0DA1" w:rsidRPr="00920BA4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Azərbaycan Respublikasının </w:t>
            </w:r>
            <w:r w:rsidR="00AF0DA1" w:rsidRPr="00920BA4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lastRenderedPageBreak/>
              <w:t>Prezidenti yanında Vətəndaşlara Xidmət və Sosial İnnovasiyalar Agentliyi</w:t>
            </w:r>
            <w:r w:rsidR="00AF0DA1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,</w:t>
            </w:r>
            <w:r w:rsidR="00AF0DA1" w:rsidRPr="00920BA4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 </w:t>
            </w:r>
            <w:r w:rsidR="00AF0DA1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m</w:t>
            </w:r>
            <w:r w:rsidR="0019235C" w:rsidRPr="00920BA4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ərkəzi və yerli icra hakimiyyət</w:t>
            </w:r>
            <w:r w:rsidR="00C35FC0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i orqanları</w:t>
            </w:r>
            <w:r w:rsidR="0019235C" w:rsidRPr="00920BA4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, dövlət adından yaradılan publik hüquqi şəxslər</w:t>
            </w:r>
          </w:p>
        </w:tc>
        <w:tc>
          <w:tcPr>
            <w:tcW w:w="1417" w:type="dxa"/>
            <w:vAlign w:val="center"/>
          </w:tcPr>
          <w:p w14:paraId="08066A90" w14:textId="77777777" w:rsidR="0019235C" w:rsidRPr="00A44A98" w:rsidRDefault="0019235C" w:rsidP="001D022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 w:rsidRPr="00A44A98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lastRenderedPageBreak/>
              <w:t>2020-2022</w:t>
            </w:r>
          </w:p>
        </w:tc>
      </w:tr>
      <w:tr w:rsidR="0019235C" w:rsidRPr="00A44A98" w14:paraId="6D157A51" w14:textId="77777777" w:rsidTr="00CD4302">
        <w:trPr>
          <w:trHeight w:val="2603"/>
          <w:jc w:val="center"/>
        </w:trPr>
        <w:tc>
          <w:tcPr>
            <w:tcW w:w="988" w:type="dxa"/>
            <w:vAlign w:val="center"/>
          </w:tcPr>
          <w:p w14:paraId="2E96437C" w14:textId="1BF32C82" w:rsidR="0019235C" w:rsidRPr="0019235C" w:rsidRDefault="00592B6B" w:rsidP="0053142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4</w:t>
            </w:r>
            <w:r w:rsidR="0019235C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.</w:t>
            </w:r>
            <w:r w:rsidR="0019235C" w:rsidRPr="0019235C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2</w:t>
            </w:r>
            <w:r w:rsidR="00A322CD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.</w:t>
            </w:r>
          </w:p>
        </w:tc>
        <w:tc>
          <w:tcPr>
            <w:tcW w:w="7087" w:type="dxa"/>
            <w:vAlign w:val="center"/>
          </w:tcPr>
          <w:p w14:paraId="55A7B5B3" w14:textId="0BFF898D" w:rsidR="0019235C" w:rsidRPr="00920BA4" w:rsidRDefault="0019235C" w:rsidP="0019235C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az-Latn-AZ" w:eastAsia="ru-RU"/>
              </w:rPr>
            </w:pPr>
            <w:r w:rsidRPr="00BB3A5D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Dövlət xidmətinin göstərilməsi üçün zəruri olan sənəd və ya məlumat digər dövlət qurumunda mövcud olduğu halda, həmin sənəd və ya məlumatın vətəndaşdan tələb edilmədən</w:t>
            </w:r>
            <w:r w:rsidR="008757F3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 Elektron Hökumət İnformasiya Sistemi vasitəsilə</w:t>
            </w:r>
            <w:r w:rsidRPr="00BB3A5D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 müvafiq dövlət qurumundan alınmasının təmin edilməsi üçün bu prinsipin sahəvi normativ hüquqi aktlarda təsbit edilməsi, habelə bu prinsipə əsaslanan elektron xidmətlərin sayının artırılması</w:t>
            </w:r>
          </w:p>
        </w:tc>
        <w:tc>
          <w:tcPr>
            <w:tcW w:w="2977" w:type="dxa"/>
            <w:vAlign w:val="center"/>
          </w:tcPr>
          <w:p w14:paraId="1DF28313" w14:textId="77777777" w:rsidR="00C35FC0" w:rsidRPr="00920BA4" w:rsidRDefault="00C35FC0" w:rsidP="0019235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Qeyd edilən prinsipin təsbit edildiyi normativ hüquqi aktlar, bu prinsipə əsaslanan elektron xidmətlər</w:t>
            </w:r>
          </w:p>
        </w:tc>
        <w:tc>
          <w:tcPr>
            <w:tcW w:w="2977" w:type="dxa"/>
            <w:vAlign w:val="center"/>
          </w:tcPr>
          <w:p w14:paraId="7B9B2AB8" w14:textId="69088BA8" w:rsidR="0019235C" w:rsidRPr="00920BA4" w:rsidRDefault="006A4FBC" w:rsidP="0053142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az-Latn-AZ" w:eastAsia="ru-RU"/>
              </w:rPr>
            </w:pPr>
            <w:r w:rsidRPr="00920BA4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İcraçılar: </w:t>
            </w:r>
            <w:r w:rsidR="0019235C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Nazirlər Kabineti, Ədliyyə Nazirliyi, </w:t>
            </w:r>
            <w:r w:rsidR="0019235C" w:rsidRPr="00920BA4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Azərbaycan Respublikasının Prezidenti yanında Vətəndaşlara Xidmət və Sosial İnnovasiyalar Agentliyi</w:t>
            </w:r>
            <w:r w:rsidR="004C0CFC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, aidiyyəti dövlət orqanları</w:t>
            </w:r>
          </w:p>
        </w:tc>
        <w:tc>
          <w:tcPr>
            <w:tcW w:w="1417" w:type="dxa"/>
            <w:vAlign w:val="center"/>
          </w:tcPr>
          <w:p w14:paraId="0AC2C53D" w14:textId="77777777" w:rsidR="0019235C" w:rsidRPr="00920BA4" w:rsidRDefault="0019235C" w:rsidP="001D022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az-Latn-AZ" w:eastAsia="ru-RU"/>
              </w:rPr>
            </w:pPr>
            <w:r w:rsidRPr="00A44A98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2020-2022</w:t>
            </w:r>
          </w:p>
        </w:tc>
      </w:tr>
      <w:tr w:rsidR="0044520E" w:rsidRPr="009661A9" w14:paraId="4C798EC4" w14:textId="77777777" w:rsidTr="004E09B7">
        <w:trPr>
          <w:trHeight w:val="1022"/>
          <w:jc w:val="center"/>
        </w:trPr>
        <w:tc>
          <w:tcPr>
            <w:tcW w:w="988" w:type="dxa"/>
            <w:vAlign w:val="center"/>
          </w:tcPr>
          <w:p w14:paraId="39D3E26A" w14:textId="44D6FAE7" w:rsidR="0044520E" w:rsidRDefault="00592B6B" w:rsidP="0053142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4</w:t>
            </w:r>
            <w:r w:rsidR="0044520E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.</w:t>
            </w: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3</w:t>
            </w:r>
            <w:r w:rsidR="0044520E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.</w:t>
            </w:r>
          </w:p>
        </w:tc>
        <w:tc>
          <w:tcPr>
            <w:tcW w:w="7087" w:type="dxa"/>
            <w:vAlign w:val="center"/>
          </w:tcPr>
          <w:p w14:paraId="10A1E26A" w14:textId="77777777" w:rsidR="0044520E" w:rsidRPr="00D96F77" w:rsidRDefault="0044520E" w:rsidP="001D022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 w:rsidRPr="00D96F77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Yerli icra hakimiyyəti orqanları tərəfindən göstərilən xidmətlərin elektron qaydada təqdim edilməsi üzrə tədbirlərin həyata keçirilməsi</w:t>
            </w:r>
          </w:p>
        </w:tc>
        <w:tc>
          <w:tcPr>
            <w:tcW w:w="2977" w:type="dxa"/>
            <w:vAlign w:val="center"/>
          </w:tcPr>
          <w:p w14:paraId="2D77B12F" w14:textId="77777777" w:rsidR="0044520E" w:rsidRPr="00D96F77" w:rsidRDefault="0044520E" w:rsidP="001D022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 w:rsidRPr="00D96F77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Yerli icra hakimiyyəti orqanları tərəfindən göstərilən yeni elektron xidmətlərin sayı</w:t>
            </w:r>
          </w:p>
        </w:tc>
        <w:tc>
          <w:tcPr>
            <w:tcW w:w="2977" w:type="dxa"/>
            <w:vAlign w:val="center"/>
          </w:tcPr>
          <w:p w14:paraId="63D52626" w14:textId="77777777" w:rsidR="0044520E" w:rsidRPr="00920BA4" w:rsidRDefault="0044520E" w:rsidP="0053142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 w:rsidRPr="00920BA4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İcraçılar: </w:t>
            </w: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Azərbaycan Respublikası Prezidentinin Administrasiyası, yerli icra hakimiyyəti orqanları</w:t>
            </w:r>
          </w:p>
        </w:tc>
        <w:tc>
          <w:tcPr>
            <w:tcW w:w="1417" w:type="dxa"/>
            <w:vAlign w:val="center"/>
          </w:tcPr>
          <w:p w14:paraId="032563FD" w14:textId="77777777" w:rsidR="0044520E" w:rsidRPr="00A44A98" w:rsidRDefault="0044520E" w:rsidP="001D022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2020-2022</w:t>
            </w:r>
          </w:p>
        </w:tc>
      </w:tr>
      <w:tr w:rsidR="004F3570" w:rsidRPr="009661A9" w14:paraId="580343A3" w14:textId="77777777" w:rsidTr="004E09B7">
        <w:trPr>
          <w:trHeight w:val="1022"/>
          <w:jc w:val="center"/>
        </w:trPr>
        <w:tc>
          <w:tcPr>
            <w:tcW w:w="988" w:type="dxa"/>
            <w:vAlign w:val="center"/>
          </w:tcPr>
          <w:p w14:paraId="031CF12C" w14:textId="5FC2B659" w:rsidR="004F3570" w:rsidRDefault="004F3570" w:rsidP="004F357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4.4.</w:t>
            </w:r>
          </w:p>
        </w:tc>
        <w:tc>
          <w:tcPr>
            <w:tcW w:w="7087" w:type="dxa"/>
            <w:vAlign w:val="center"/>
          </w:tcPr>
          <w:p w14:paraId="085CDE3C" w14:textId="386CE75F" w:rsidR="004F3570" w:rsidRPr="00D96F77" w:rsidRDefault="004F3570" w:rsidP="004F3570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 w:rsidRPr="003E3565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Məhkəmə qərarları ilə inzibati aktları ləğv edilən, hərəkət və ya hərəkətsizlikləri qanunsuz hesab edilən dövlət qurumları və yerli özünüidarəetmə orqanları tərəfindən bunun səbəblərinə dair illik ümumiləşdirmələrin </w:t>
            </w:r>
            <w:r w:rsidR="00CC42D6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mütəmadi olaraq </w:t>
            </w:r>
            <w:r w:rsidRPr="003E3565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keçirilməsi </w:t>
            </w:r>
          </w:p>
        </w:tc>
        <w:tc>
          <w:tcPr>
            <w:tcW w:w="2977" w:type="dxa"/>
            <w:vAlign w:val="center"/>
          </w:tcPr>
          <w:p w14:paraId="6DC64E95" w14:textId="2E2F5D91" w:rsidR="004F3570" w:rsidRPr="00D96F77" w:rsidRDefault="004F3570" w:rsidP="004F357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 w:rsidRPr="003E3565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Ümumiləşdirmələrin </w:t>
            </w: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k</w:t>
            </w:r>
            <w:r w:rsidRPr="003E3565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eçirilməsi</w:t>
            </w: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 üzrə tədbirlər</w:t>
            </w:r>
          </w:p>
        </w:tc>
        <w:tc>
          <w:tcPr>
            <w:tcW w:w="2977" w:type="dxa"/>
            <w:vAlign w:val="center"/>
          </w:tcPr>
          <w:p w14:paraId="6BC19018" w14:textId="6A253FC4" w:rsidR="004F3570" w:rsidRPr="00920BA4" w:rsidRDefault="004F3570" w:rsidP="004F357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Tövsiyə edilir: Ali Məhkəmə</w:t>
            </w:r>
          </w:p>
        </w:tc>
        <w:tc>
          <w:tcPr>
            <w:tcW w:w="1417" w:type="dxa"/>
            <w:vAlign w:val="center"/>
          </w:tcPr>
          <w:p w14:paraId="7BC1E1E0" w14:textId="320C35F8" w:rsidR="004F3570" w:rsidRDefault="004F3570" w:rsidP="004F3570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 w:rsidRPr="00A46199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2020-2022</w:t>
            </w:r>
          </w:p>
        </w:tc>
      </w:tr>
      <w:tr w:rsidR="0019235C" w:rsidRPr="00BB3A5D" w14:paraId="23AA4F6C" w14:textId="77777777" w:rsidTr="004E09B7">
        <w:trPr>
          <w:trHeight w:val="462"/>
          <w:jc w:val="center"/>
        </w:trPr>
        <w:tc>
          <w:tcPr>
            <w:tcW w:w="988" w:type="dxa"/>
            <w:vAlign w:val="center"/>
          </w:tcPr>
          <w:p w14:paraId="58F02054" w14:textId="158D6AC4" w:rsidR="0019235C" w:rsidRPr="0019235C" w:rsidRDefault="00592B6B" w:rsidP="0053142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4</w:t>
            </w:r>
            <w:r w:rsidR="0019235C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.</w:t>
            </w:r>
            <w:r w:rsidR="004F3570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5</w:t>
            </w:r>
            <w:r w:rsidR="00A322CD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.</w:t>
            </w:r>
          </w:p>
        </w:tc>
        <w:tc>
          <w:tcPr>
            <w:tcW w:w="7087" w:type="dxa"/>
            <w:vAlign w:val="center"/>
          </w:tcPr>
          <w:p w14:paraId="0F152D0E" w14:textId="5136FD17" w:rsidR="00BB3A5D" w:rsidRPr="00BB3A5D" w:rsidRDefault="004E71B0" w:rsidP="001D022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 w:rsidRPr="004E71B0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Dövlət Xidmətlərinin Elektron Reyestri</w:t>
            </w: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nə </w:t>
            </w:r>
            <w:r w:rsidRPr="004E71B0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daxil edilmiş xidmətlərin </w:t>
            </w:r>
            <w:r w:rsidR="00BB3A5D" w:rsidRPr="00BB3A5D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“ASAN Xidmət” indeksi </w:t>
            </w: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əsasında </w:t>
            </w:r>
            <w:r w:rsidR="00BB3A5D" w:rsidRPr="00BB3A5D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qiymətləndir</w:t>
            </w: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il</w:t>
            </w:r>
            <w:r w:rsidR="00BB3A5D" w:rsidRPr="00BB3A5D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mə</w:t>
            </w: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si</w:t>
            </w:r>
            <w:r w:rsidR="00BB3A5D" w:rsidRPr="00BB3A5D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nin nəticələri əsasında dövlət xidmətlərinin təkmilləşdirilməsi mexanizminin yaradılması</w:t>
            </w:r>
          </w:p>
          <w:p w14:paraId="3A6E3333" w14:textId="77777777" w:rsidR="002000C2" w:rsidRPr="00BB3A5D" w:rsidRDefault="002000C2" w:rsidP="00BB3A5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</w:p>
        </w:tc>
        <w:tc>
          <w:tcPr>
            <w:tcW w:w="2977" w:type="dxa"/>
            <w:vAlign w:val="center"/>
          </w:tcPr>
          <w:p w14:paraId="30AEFF73" w14:textId="7E45E483" w:rsidR="00BB3A5D" w:rsidRPr="00BB3A5D" w:rsidRDefault="00E03FD5" w:rsidP="0053142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 w:rsidRPr="00BB3A5D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Dövlət </w:t>
            </w:r>
            <w:r w:rsidR="00BB3A5D" w:rsidRPr="00BB3A5D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xidmətlərinin təkmilləşdirilməsi</w:t>
            </w: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nin </w:t>
            </w:r>
            <w:r w:rsidR="00BB3A5D" w:rsidRPr="00BB3A5D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təşkili</w:t>
            </w:r>
            <w:r w:rsidR="004E71B0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 üzrə görülən tədbirlər</w:t>
            </w:r>
          </w:p>
          <w:p w14:paraId="448AA309" w14:textId="77777777" w:rsidR="00C35FC0" w:rsidRPr="00BB3A5D" w:rsidRDefault="00C35FC0" w:rsidP="00BB3A5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</w:p>
        </w:tc>
        <w:tc>
          <w:tcPr>
            <w:tcW w:w="2977" w:type="dxa"/>
            <w:vAlign w:val="center"/>
          </w:tcPr>
          <w:p w14:paraId="55B7066B" w14:textId="331223D5" w:rsidR="007B6DA0" w:rsidRPr="00BB3A5D" w:rsidRDefault="0019235C" w:rsidP="00482B8D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az-Latn-AZ" w:eastAsia="ru-RU"/>
              </w:rPr>
            </w:pPr>
            <w:r w:rsidRPr="00BB3A5D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İcraçılar: Nazirlər Kabineti</w:t>
            </w:r>
            <w:r w:rsidR="00BB3A5D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, </w:t>
            </w:r>
            <w:r w:rsidR="00BB3A5D" w:rsidRPr="00920BA4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Azərbaycan Respublikasının Prezidenti yanında Vətəndaşlara Xidmət və Sosial İnnovasiyalar Agentliyi</w:t>
            </w:r>
          </w:p>
        </w:tc>
        <w:tc>
          <w:tcPr>
            <w:tcW w:w="1417" w:type="dxa"/>
            <w:vAlign w:val="center"/>
          </w:tcPr>
          <w:p w14:paraId="697E0C4A" w14:textId="400C4449" w:rsidR="0019235C" w:rsidRPr="00BB3A5D" w:rsidRDefault="00E03FD5" w:rsidP="001D022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az-Latn-AZ" w:eastAsia="ru-RU"/>
              </w:rPr>
            </w:pPr>
            <w:r w:rsidRPr="00A44A98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2020-2022</w:t>
            </w:r>
          </w:p>
        </w:tc>
      </w:tr>
      <w:tr w:rsidR="007E3385" w:rsidRPr="00AD0B03" w14:paraId="4487D7BE" w14:textId="77777777" w:rsidTr="004E09B7">
        <w:trPr>
          <w:trHeight w:val="1417"/>
          <w:jc w:val="center"/>
        </w:trPr>
        <w:tc>
          <w:tcPr>
            <w:tcW w:w="988" w:type="dxa"/>
            <w:vAlign w:val="center"/>
          </w:tcPr>
          <w:p w14:paraId="72F4E5A5" w14:textId="21B34565" w:rsidR="007E3385" w:rsidRPr="0019235C" w:rsidRDefault="00592B6B" w:rsidP="0053142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lastRenderedPageBreak/>
              <w:t>4</w:t>
            </w:r>
            <w:r w:rsidR="007E3385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.</w:t>
            </w:r>
            <w:r w:rsidR="004F3570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6</w:t>
            </w:r>
            <w:r w:rsidR="007E3385" w:rsidRPr="0019235C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.</w:t>
            </w:r>
          </w:p>
        </w:tc>
        <w:tc>
          <w:tcPr>
            <w:tcW w:w="7087" w:type="dxa"/>
            <w:vAlign w:val="center"/>
          </w:tcPr>
          <w:p w14:paraId="7B7F5EFA" w14:textId="778CDE36" w:rsidR="007E3385" w:rsidRPr="00920BA4" w:rsidRDefault="007E3385" w:rsidP="00482B8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 w:rsidRPr="00920BA4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İstismara qəbul edilməmiş çoxmənzilli binalarda mənzillərə dair </w:t>
            </w: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hüquqların qabaqcadan qeydiyyatı mexanizminin yaradılması və fəaliyyətinin təmin edilməsi, belə mənzillərə dair hüquqların internet informasiya resursu vasitəsilə </w:t>
            </w:r>
            <w:r w:rsidR="000C1396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real vaxt rejimində</w:t>
            </w: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 yoxlanılmasına müvafiq şəraitin yaradılması </w:t>
            </w:r>
          </w:p>
        </w:tc>
        <w:tc>
          <w:tcPr>
            <w:tcW w:w="2977" w:type="dxa"/>
            <w:vAlign w:val="center"/>
          </w:tcPr>
          <w:p w14:paraId="606B8DF6" w14:textId="77777777" w:rsidR="007E3385" w:rsidRPr="00AD0B03" w:rsidRDefault="007E3385" w:rsidP="001D022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 w:rsidRPr="00AD0B03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Vahid informasiya bazası və yeni mexanizmin </w:t>
            </w: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fəaliyyətinin təmin edilməsi  </w:t>
            </w:r>
          </w:p>
        </w:tc>
        <w:tc>
          <w:tcPr>
            <w:tcW w:w="2977" w:type="dxa"/>
            <w:vAlign w:val="center"/>
          </w:tcPr>
          <w:p w14:paraId="1931FB00" w14:textId="77777777" w:rsidR="007E3385" w:rsidRPr="00920BA4" w:rsidRDefault="007E3385" w:rsidP="0053142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 w:rsidRPr="00AD0B03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İcraçılar: </w:t>
            </w: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Nazirlər Kabineti, İqtisadiyyat Nazirliyi</w:t>
            </w:r>
          </w:p>
        </w:tc>
        <w:tc>
          <w:tcPr>
            <w:tcW w:w="1417" w:type="dxa"/>
            <w:vAlign w:val="center"/>
          </w:tcPr>
          <w:p w14:paraId="2D76E04E" w14:textId="77777777" w:rsidR="007E3385" w:rsidRPr="00AD0B03" w:rsidRDefault="007E3385" w:rsidP="001D022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 w:rsidRPr="00AD0B03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2020</w:t>
            </w: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-2021</w:t>
            </w:r>
          </w:p>
        </w:tc>
      </w:tr>
      <w:tr w:rsidR="0019235C" w:rsidRPr="00A44A98" w14:paraId="1CD5BBD2" w14:textId="77777777" w:rsidTr="004E09B7">
        <w:trPr>
          <w:trHeight w:val="600"/>
          <w:jc w:val="center"/>
        </w:trPr>
        <w:tc>
          <w:tcPr>
            <w:tcW w:w="988" w:type="dxa"/>
            <w:vAlign w:val="center"/>
          </w:tcPr>
          <w:p w14:paraId="57B5A239" w14:textId="612A6858" w:rsidR="0019235C" w:rsidRPr="0019235C" w:rsidRDefault="00592B6B" w:rsidP="0053142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4</w:t>
            </w:r>
            <w:r w:rsidR="0019235C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.</w:t>
            </w:r>
            <w:r w:rsidR="004F3570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7</w:t>
            </w:r>
            <w:r w:rsidR="0019235C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.</w:t>
            </w:r>
          </w:p>
        </w:tc>
        <w:tc>
          <w:tcPr>
            <w:tcW w:w="7087" w:type="dxa"/>
            <w:vAlign w:val="center"/>
          </w:tcPr>
          <w:p w14:paraId="6E1D4330" w14:textId="3B0F63EA" w:rsidR="0019235C" w:rsidRPr="00920BA4" w:rsidRDefault="0019235C" w:rsidP="0019235C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val="az-Latn-AZ" w:eastAsia="ru-RU"/>
              </w:rPr>
            </w:pPr>
            <w:r w:rsidRPr="00920BA4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Elektron </w:t>
            </w:r>
            <w:r w:rsidR="007E3385" w:rsidRPr="00920BA4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Hökumət </w:t>
            </w:r>
            <w:r w:rsidRPr="00920BA4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infrastrukturun</w:t>
            </w:r>
            <w:r w:rsidR="00BB3A5D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un</w:t>
            </w:r>
            <w:r w:rsidRPr="00920BA4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 təkmilləşdirilməsi </w:t>
            </w: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və </w:t>
            </w:r>
            <w:r w:rsidRPr="00920BA4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Elektron </w:t>
            </w:r>
            <w:r w:rsidR="00657FB9" w:rsidRPr="00920BA4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Hökumət İnformasiya </w:t>
            </w:r>
            <w:r w:rsidR="00657FB9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S</w:t>
            </w:r>
            <w:r w:rsidRPr="00920BA4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isteminə qoşulan informasiya sistemləri və ehtiyatlarının sayının artırılması</w:t>
            </w:r>
          </w:p>
        </w:tc>
        <w:tc>
          <w:tcPr>
            <w:tcW w:w="2977" w:type="dxa"/>
            <w:vAlign w:val="center"/>
          </w:tcPr>
          <w:p w14:paraId="73A78A83" w14:textId="77777777" w:rsidR="0019235C" w:rsidRPr="00920BA4" w:rsidRDefault="00BB3A5D" w:rsidP="0019235C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 w:rsidRPr="00920BA4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“Elektron hökumət informasiya sistemi”nə qoşulan informasiya sistemləri və ehtiyatlarının sayı</w:t>
            </w:r>
          </w:p>
        </w:tc>
        <w:tc>
          <w:tcPr>
            <w:tcW w:w="2977" w:type="dxa"/>
            <w:vAlign w:val="center"/>
          </w:tcPr>
          <w:p w14:paraId="7D79AA03" w14:textId="77777777" w:rsidR="0019235C" w:rsidRPr="00657FB9" w:rsidRDefault="0019235C" w:rsidP="0053142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az-Latn-AZ" w:eastAsia="ru-RU"/>
              </w:rPr>
            </w:pPr>
            <w:r w:rsidRPr="00920BA4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İcraçılar: Azərbaycan Respublikasının Prezidenti yanında Vətəndaşlara Xidmət və Sosial İnnovasiyalar Agentliyi</w:t>
            </w:r>
            <w:r w:rsidR="00657FB9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, aidiyyəti dövlət qurumları</w:t>
            </w:r>
          </w:p>
        </w:tc>
        <w:tc>
          <w:tcPr>
            <w:tcW w:w="1417" w:type="dxa"/>
            <w:vAlign w:val="center"/>
          </w:tcPr>
          <w:p w14:paraId="3F7C40FB" w14:textId="77777777" w:rsidR="0019235C" w:rsidRPr="00A44A98" w:rsidRDefault="0019235C" w:rsidP="001D022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 w:rsidRPr="00A44A98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2020-2022</w:t>
            </w:r>
          </w:p>
        </w:tc>
      </w:tr>
      <w:tr w:rsidR="001D022E" w:rsidRPr="000016BA" w14:paraId="27B2C995" w14:textId="77777777" w:rsidTr="004E09B7">
        <w:trPr>
          <w:trHeight w:val="390"/>
          <w:jc w:val="center"/>
        </w:trPr>
        <w:tc>
          <w:tcPr>
            <w:tcW w:w="988" w:type="dxa"/>
            <w:vAlign w:val="center"/>
          </w:tcPr>
          <w:p w14:paraId="130191B7" w14:textId="024FC0C5" w:rsidR="001D022E" w:rsidRPr="0019235C" w:rsidRDefault="00592B6B" w:rsidP="0053142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4</w:t>
            </w:r>
            <w:r w:rsidR="001D022E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.</w:t>
            </w:r>
            <w:r w:rsidR="004F3570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8</w:t>
            </w:r>
            <w:r w:rsidR="001D022E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.</w:t>
            </w:r>
          </w:p>
        </w:tc>
        <w:tc>
          <w:tcPr>
            <w:tcW w:w="7087" w:type="dxa"/>
            <w:vAlign w:val="center"/>
          </w:tcPr>
          <w:p w14:paraId="3E3FE2FC" w14:textId="77777777" w:rsidR="001D022E" w:rsidRPr="00BB3A5D" w:rsidRDefault="001D022E" w:rsidP="001D022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 w:rsidRPr="00BB3A5D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“Elektron məhkəmə” informasiya sisteminin funksionallığının artırılması üçün tədbirlər görülməsi, sistemin ölkənin bütün regionlarında olan məhkəmələrdə tətbiqinin təmin edilməsi</w:t>
            </w:r>
          </w:p>
          <w:p w14:paraId="33F3BEA8" w14:textId="77777777" w:rsidR="001D022E" w:rsidRPr="00BB3A5D" w:rsidRDefault="001D022E" w:rsidP="001D022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</w:p>
        </w:tc>
        <w:tc>
          <w:tcPr>
            <w:tcW w:w="2977" w:type="dxa"/>
            <w:vAlign w:val="center"/>
          </w:tcPr>
          <w:p w14:paraId="28E5F618" w14:textId="35B7B003" w:rsidR="001D022E" w:rsidRPr="00BB3A5D" w:rsidRDefault="001D022E" w:rsidP="001D022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 w:rsidRPr="00BB3A5D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“Elektron məhkəmə” informasiya sistemi</w:t>
            </w:r>
            <w:r w:rsidR="00382FC9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 vasitəsilə yeni funksiyaların yerinə yetirilməsi və sistemin </w:t>
            </w:r>
            <w:r w:rsidRPr="00BB3A5D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bütün məhkəmələr</w:t>
            </w: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i əhatə etməsi</w:t>
            </w:r>
            <w:r w:rsidR="00382FC9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 üzrə görülən tədbirlər</w:t>
            </w:r>
          </w:p>
        </w:tc>
        <w:tc>
          <w:tcPr>
            <w:tcW w:w="2977" w:type="dxa"/>
            <w:vAlign w:val="center"/>
          </w:tcPr>
          <w:p w14:paraId="191EC000" w14:textId="101C750D" w:rsidR="001D022E" w:rsidRDefault="001D022E" w:rsidP="0053142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 w:rsidRPr="00920BA4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İcraçı:</w:t>
            </w: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 Ədliyyə Nazirliyi</w:t>
            </w:r>
          </w:p>
          <w:p w14:paraId="4BB88C34" w14:textId="77777777" w:rsidR="001D022E" w:rsidRPr="00920BA4" w:rsidRDefault="001D022E" w:rsidP="0053142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az-Latn-AZ" w:eastAsia="ru-RU"/>
              </w:rPr>
            </w:pPr>
          </w:p>
        </w:tc>
        <w:tc>
          <w:tcPr>
            <w:tcW w:w="1417" w:type="dxa"/>
            <w:vAlign w:val="center"/>
          </w:tcPr>
          <w:p w14:paraId="01E77652" w14:textId="77777777" w:rsidR="001D022E" w:rsidRPr="000016BA" w:rsidRDefault="001D022E" w:rsidP="001D022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az-Latn-AZ" w:eastAsia="ru-RU"/>
              </w:rPr>
            </w:pPr>
            <w:r w:rsidRPr="000016BA">
              <w:rPr>
                <w:rFonts w:ascii="Arial" w:eastAsia="Times New Roman" w:hAnsi="Arial" w:cs="Arial"/>
                <w:bCs/>
                <w:sz w:val="24"/>
                <w:szCs w:val="24"/>
                <w:lang w:val="az-Latn-AZ" w:eastAsia="ru-RU"/>
              </w:rPr>
              <w:t>2020-2022</w:t>
            </w:r>
          </w:p>
        </w:tc>
      </w:tr>
      <w:tr w:rsidR="009408BA" w:rsidRPr="00830261" w14:paraId="5E2EA756" w14:textId="77777777" w:rsidTr="00830261">
        <w:trPr>
          <w:trHeight w:val="1104"/>
          <w:jc w:val="center"/>
        </w:trPr>
        <w:tc>
          <w:tcPr>
            <w:tcW w:w="988" w:type="dxa"/>
            <w:vAlign w:val="center"/>
          </w:tcPr>
          <w:p w14:paraId="7A7EC699" w14:textId="20ECC21F" w:rsidR="009408BA" w:rsidRDefault="00400B1A" w:rsidP="0053142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4.9.</w:t>
            </w:r>
          </w:p>
        </w:tc>
        <w:tc>
          <w:tcPr>
            <w:tcW w:w="7087" w:type="dxa"/>
            <w:vAlign w:val="center"/>
          </w:tcPr>
          <w:p w14:paraId="6C95E081" w14:textId="1E740D1C" w:rsidR="009408BA" w:rsidRPr="00BB3A5D" w:rsidRDefault="009408BA" w:rsidP="001D022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 w:rsidRPr="009408BA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Dövlət satınalmalarının vahid internet portalı</w:t>
            </w: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nın </w:t>
            </w:r>
            <w:r w:rsidR="00830261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fəaliyyətinin genişləndirilməsi və funksionallığının artırılması</w:t>
            </w:r>
          </w:p>
        </w:tc>
        <w:tc>
          <w:tcPr>
            <w:tcW w:w="2977" w:type="dxa"/>
            <w:vAlign w:val="center"/>
          </w:tcPr>
          <w:p w14:paraId="4CD297B1" w14:textId="7AAF7CE3" w:rsidR="009408BA" w:rsidRPr="00BB3A5D" w:rsidRDefault="00400B1A" w:rsidP="001D022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 w:rsidRPr="009408BA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Portalı</w:t>
            </w: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nın </w:t>
            </w:r>
            <w:r w:rsidR="00830261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fəaliyyətinin genişləndirilməsi ilə bağlı</w:t>
            </w: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 görülən tədbirlər</w:t>
            </w:r>
          </w:p>
        </w:tc>
        <w:tc>
          <w:tcPr>
            <w:tcW w:w="2977" w:type="dxa"/>
            <w:vAlign w:val="center"/>
          </w:tcPr>
          <w:p w14:paraId="4612519E" w14:textId="35B8319B" w:rsidR="009408BA" w:rsidRPr="00920BA4" w:rsidRDefault="00400B1A" w:rsidP="0053142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 w:rsidRPr="00920BA4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İcraçılar: </w:t>
            </w: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İqtisadiyyat Nazirliyi, </w:t>
            </w:r>
            <w:r w:rsidRPr="00920BA4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Azərbaycan Respublikasının Prezidenti yanında Vətəndaşlara Xidmət və Sosial İnnovasiyalar Agentliyi</w:t>
            </w:r>
          </w:p>
        </w:tc>
        <w:tc>
          <w:tcPr>
            <w:tcW w:w="1417" w:type="dxa"/>
            <w:vAlign w:val="center"/>
          </w:tcPr>
          <w:p w14:paraId="47D1FEF4" w14:textId="0833025C" w:rsidR="009408BA" w:rsidRPr="000016BA" w:rsidRDefault="00400B1A" w:rsidP="001D022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az-Latn-AZ" w:eastAsia="ru-RU"/>
              </w:rPr>
            </w:pPr>
            <w:r w:rsidRPr="000016BA">
              <w:rPr>
                <w:rFonts w:ascii="Arial" w:eastAsia="Times New Roman" w:hAnsi="Arial" w:cs="Arial"/>
                <w:bCs/>
                <w:sz w:val="24"/>
                <w:szCs w:val="24"/>
                <w:lang w:val="az-Latn-AZ" w:eastAsia="ru-RU"/>
              </w:rPr>
              <w:t>2020-2022</w:t>
            </w:r>
          </w:p>
        </w:tc>
      </w:tr>
      <w:tr w:rsidR="00382FC9" w:rsidRPr="00382FC9" w14:paraId="2CBD87E2" w14:textId="77777777" w:rsidTr="004E09B7">
        <w:trPr>
          <w:trHeight w:val="390"/>
          <w:jc w:val="center"/>
        </w:trPr>
        <w:tc>
          <w:tcPr>
            <w:tcW w:w="988" w:type="dxa"/>
            <w:vAlign w:val="center"/>
          </w:tcPr>
          <w:p w14:paraId="3CFC0270" w14:textId="5E949D98" w:rsidR="00382FC9" w:rsidRDefault="00400B1A" w:rsidP="0053142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4.10.</w:t>
            </w:r>
          </w:p>
        </w:tc>
        <w:tc>
          <w:tcPr>
            <w:tcW w:w="7087" w:type="dxa"/>
            <w:vAlign w:val="center"/>
          </w:tcPr>
          <w:p w14:paraId="2AF66645" w14:textId="042F7A1F" w:rsidR="00382FC9" w:rsidRPr="00BB3A5D" w:rsidRDefault="005B772E" w:rsidP="001D022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Fiziki və hüquqi şəxslərə </w:t>
            </w:r>
            <w:r w:rsidR="00382FC9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“Elektron notariat” və “Elektron icra” informasiya sistemləri vasitəsilə </w:t>
            </w: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göstərilən </w:t>
            </w:r>
            <w:r w:rsidR="00382FC9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elektron xidmətlərin sayının artırılması</w:t>
            </w: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49BE27E7" w14:textId="06FC4288" w:rsidR="00382FC9" w:rsidRPr="00BB3A5D" w:rsidRDefault="004E71B0" w:rsidP="001D022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İnformasiya </w:t>
            </w:r>
            <w:r w:rsidR="00382FC9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sistemləri vasitəsilə həyata keçirilən elektron xidmətlərin sayı</w:t>
            </w:r>
          </w:p>
        </w:tc>
        <w:tc>
          <w:tcPr>
            <w:tcW w:w="2977" w:type="dxa"/>
            <w:vAlign w:val="center"/>
          </w:tcPr>
          <w:p w14:paraId="3452643D" w14:textId="3D225B71" w:rsidR="00382FC9" w:rsidRDefault="00382FC9" w:rsidP="00382FC9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 w:rsidRPr="00920BA4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İcraçı:</w:t>
            </w: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 Ədliyyə Nazirliyi</w:t>
            </w:r>
          </w:p>
          <w:p w14:paraId="1F0DA3A9" w14:textId="77777777" w:rsidR="00382FC9" w:rsidRPr="00920BA4" w:rsidRDefault="00382FC9" w:rsidP="0053142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</w:p>
        </w:tc>
        <w:tc>
          <w:tcPr>
            <w:tcW w:w="1417" w:type="dxa"/>
            <w:vAlign w:val="center"/>
          </w:tcPr>
          <w:p w14:paraId="694C3C98" w14:textId="5D3E98FD" w:rsidR="00382FC9" w:rsidRPr="000016BA" w:rsidRDefault="005B772E" w:rsidP="001D022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az-Latn-AZ" w:eastAsia="ru-RU"/>
              </w:rPr>
            </w:pPr>
            <w:r w:rsidRPr="000016BA">
              <w:rPr>
                <w:rFonts w:ascii="Arial" w:eastAsia="Times New Roman" w:hAnsi="Arial" w:cs="Arial"/>
                <w:bCs/>
                <w:sz w:val="24"/>
                <w:szCs w:val="24"/>
                <w:lang w:val="az-Latn-AZ" w:eastAsia="ru-RU"/>
              </w:rPr>
              <w:t>2020-202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az-Latn-AZ" w:eastAsia="ru-RU"/>
              </w:rPr>
              <w:t>1</w:t>
            </w:r>
          </w:p>
        </w:tc>
      </w:tr>
      <w:tr w:rsidR="007E3385" w:rsidRPr="009661A9" w14:paraId="03492910" w14:textId="77777777" w:rsidTr="004E09B7">
        <w:trPr>
          <w:trHeight w:val="1022"/>
          <w:jc w:val="center"/>
        </w:trPr>
        <w:tc>
          <w:tcPr>
            <w:tcW w:w="988" w:type="dxa"/>
            <w:vAlign w:val="center"/>
          </w:tcPr>
          <w:p w14:paraId="41DD6BF5" w14:textId="6F4C9F91" w:rsidR="007E3385" w:rsidRDefault="00400B1A" w:rsidP="0053142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4.11.</w:t>
            </w:r>
          </w:p>
        </w:tc>
        <w:tc>
          <w:tcPr>
            <w:tcW w:w="7087" w:type="dxa"/>
            <w:vAlign w:val="center"/>
          </w:tcPr>
          <w:p w14:paraId="668378FB" w14:textId="77777777" w:rsidR="007E3385" w:rsidRPr="00D96F77" w:rsidRDefault="007E3385" w:rsidP="001D022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Dövlət qurumlarının informasiya ehtiyatlarında ş</w:t>
            </w:r>
            <w:r w:rsidRPr="00D96F77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əxsə aid olan məlumatların onun tərəfindən dəqiqləşdirilməsi imkanını təmin edən elektron xidmətin yaradılması</w:t>
            </w:r>
          </w:p>
        </w:tc>
        <w:tc>
          <w:tcPr>
            <w:tcW w:w="2977" w:type="dxa"/>
            <w:vAlign w:val="center"/>
          </w:tcPr>
          <w:p w14:paraId="5CC5335D" w14:textId="2ECF5BAD" w:rsidR="007E3385" w:rsidRPr="00D96F77" w:rsidRDefault="006327BB" w:rsidP="001D022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 w:rsidRPr="00D96F77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Elektron </w:t>
            </w:r>
            <w:r w:rsidR="007E3385" w:rsidRPr="00D96F77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xidmətin yaradılması ilə bağlı tədbirlər</w:t>
            </w:r>
          </w:p>
        </w:tc>
        <w:tc>
          <w:tcPr>
            <w:tcW w:w="2977" w:type="dxa"/>
            <w:vAlign w:val="center"/>
          </w:tcPr>
          <w:p w14:paraId="14504C22" w14:textId="77777777" w:rsidR="007E3385" w:rsidRPr="00920BA4" w:rsidRDefault="007E3385" w:rsidP="0053142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 w:rsidRPr="00920BA4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İcraçılar: Azərbaycan Respublikasının Prezidenti yanında Vətəndaşlara Xidmət və </w:t>
            </w:r>
            <w:r w:rsidRPr="00920BA4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lastRenderedPageBreak/>
              <w:t>Sosial İnnovasiyalar Agentliyi</w:t>
            </w: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, aidiyyəti dövlət qurumları</w:t>
            </w:r>
          </w:p>
        </w:tc>
        <w:tc>
          <w:tcPr>
            <w:tcW w:w="1417" w:type="dxa"/>
            <w:vAlign w:val="center"/>
          </w:tcPr>
          <w:p w14:paraId="6785638E" w14:textId="77777777" w:rsidR="007E3385" w:rsidRPr="00A44A98" w:rsidRDefault="007E3385" w:rsidP="001D022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lastRenderedPageBreak/>
              <w:t>2021-2022</w:t>
            </w:r>
          </w:p>
        </w:tc>
      </w:tr>
      <w:tr w:rsidR="009661A9" w:rsidRPr="009661A9" w14:paraId="1253C3A1" w14:textId="77777777" w:rsidTr="004E09B7">
        <w:trPr>
          <w:trHeight w:val="390"/>
          <w:jc w:val="center"/>
        </w:trPr>
        <w:tc>
          <w:tcPr>
            <w:tcW w:w="988" w:type="dxa"/>
            <w:vAlign w:val="center"/>
          </w:tcPr>
          <w:p w14:paraId="5697A2CD" w14:textId="05BBEE01" w:rsidR="009661A9" w:rsidRDefault="00400B1A" w:rsidP="0053142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4.12.</w:t>
            </w:r>
          </w:p>
        </w:tc>
        <w:tc>
          <w:tcPr>
            <w:tcW w:w="7087" w:type="dxa"/>
            <w:vAlign w:val="center"/>
          </w:tcPr>
          <w:p w14:paraId="124D711C" w14:textId="6AC840CB" w:rsidR="009661A9" w:rsidRPr="00BB3A5D" w:rsidRDefault="009661A9" w:rsidP="001D022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 w:rsidRPr="009661A9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“Ağıllı şəhər” konsepsiyasının tətbiqi ilə bağlı araşdırma aparılması və pilot layihə həyata keçirilməsi imkanların müəyyən edilməsi</w:t>
            </w:r>
          </w:p>
        </w:tc>
        <w:tc>
          <w:tcPr>
            <w:tcW w:w="2977" w:type="dxa"/>
            <w:vAlign w:val="center"/>
          </w:tcPr>
          <w:p w14:paraId="3FF90275" w14:textId="3026EF42" w:rsidR="009661A9" w:rsidRPr="00BB3A5D" w:rsidRDefault="00D96F77" w:rsidP="001D022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 w:rsidRPr="009661A9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“Ağıllı şəhər” konsepsiyasının tətbiqi ilə bağlı</w:t>
            </w: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 hazırlanmış təkliflər</w:t>
            </w:r>
          </w:p>
        </w:tc>
        <w:tc>
          <w:tcPr>
            <w:tcW w:w="2977" w:type="dxa"/>
            <w:vAlign w:val="center"/>
          </w:tcPr>
          <w:p w14:paraId="4EE020B0" w14:textId="109FA7B4" w:rsidR="009661A9" w:rsidRPr="00920BA4" w:rsidRDefault="00243C38" w:rsidP="0053142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 w:rsidRPr="00920BA4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İcraçılar:</w:t>
            </w: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 </w:t>
            </w:r>
            <w:r w:rsidR="004C0CFC" w:rsidRPr="004C0CFC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Nəqliyyat, Rabitə və Yüksək Texnologiyalar Nazirliyi</w:t>
            </w:r>
            <w:r w:rsidR="004C0CFC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,</w:t>
            </w:r>
            <w:r w:rsidR="004C0CFC" w:rsidRPr="004C0CFC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 </w:t>
            </w:r>
            <w:r w:rsidR="00D96F77" w:rsidRPr="00920BA4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Azərbaycan Respublikasının Prezidenti yanında </w:t>
            </w:r>
            <w:r w:rsidRPr="00243C38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Vətəndaşlara Xidmət və Sosial İnnovasiyalar üzrə Dövlət Agentliyi</w:t>
            </w:r>
          </w:p>
        </w:tc>
        <w:tc>
          <w:tcPr>
            <w:tcW w:w="1417" w:type="dxa"/>
            <w:vAlign w:val="center"/>
          </w:tcPr>
          <w:p w14:paraId="0752E625" w14:textId="05851521" w:rsidR="009661A9" w:rsidRPr="000016BA" w:rsidRDefault="00D96F77" w:rsidP="001D022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az-Latn-AZ" w:eastAsia="ru-RU"/>
              </w:rPr>
            </w:pPr>
            <w:r w:rsidRPr="000016BA">
              <w:rPr>
                <w:rFonts w:ascii="Arial" w:eastAsia="Times New Roman" w:hAnsi="Arial" w:cs="Arial"/>
                <w:bCs/>
                <w:sz w:val="24"/>
                <w:szCs w:val="24"/>
                <w:lang w:val="az-Latn-AZ" w:eastAsia="ru-RU"/>
              </w:rPr>
              <w:t>2020-202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az-Latn-AZ" w:eastAsia="ru-RU"/>
              </w:rPr>
              <w:t>1</w:t>
            </w:r>
          </w:p>
        </w:tc>
      </w:tr>
      <w:tr w:rsidR="001D022E" w:rsidRPr="00A44A98" w14:paraId="7374F868" w14:textId="77777777" w:rsidTr="004E09B7">
        <w:trPr>
          <w:trHeight w:val="480"/>
          <w:jc w:val="center"/>
        </w:trPr>
        <w:tc>
          <w:tcPr>
            <w:tcW w:w="988" w:type="dxa"/>
            <w:vAlign w:val="center"/>
          </w:tcPr>
          <w:p w14:paraId="10EC2FE7" w14:textId="7180126A" w:rsidR="001D022E" w:rsidRPr="0019235C" w:rsidRDefault="00400B1A" w:rsidP="0053142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4.13.</w:t>
            </w:r>
          </w:p>
        </w:tc>
        <w:tc>
          <w:tcPr>
            <w:tcW w:w="7087" w:type="dxa"/>
            <w:vAlign w:val="center"/>
          </w:tcPr>
          <w:p w14:paraId="3A1D2C5F" w14:textId="7B1FF14E" w:rsidR="001D022E" w:rsidRPr="00920BA4" w:rsidRDefault="001D022E" w:rsidP="00482B8D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 w:rsidRPr="00920BA4">
              <w:rPr>
                <w:rFonts w:ascii="Arial" w:hAnsi="Arial" w:cs="Arial"/>
                <w:sz w:val="24"/>
                <w:szCs w:val="24"/>
                <w:lang w:val="az-Latn-AZ"/>
              </w:rPr>
              <w:t xml:space="preserve">İctimai xarakter daşıyan kommunal, yol, nəqliyyat problemləri və infrastrukturun cari təmiri, abadlaşdırılması və təmizliyi ilə bağlı şikayətlərin </w:t>
            </w:r>
            <w:r w:rsidR="004C0CFC">
              <w:rPr>
                <w:rFonts w:ascii="Arial" w:hAnsi="Arial" w:cs="Arial"/>
                <w:sz w:val="24"/>
                <w:szCs w:val="24"/>
                <w:lang w:val="az-Latn-AZ"/>
              </w:rPr>
              <w:t>elektron</w:t>
            </w:r>
            <w:r w:rsidRPr="00920BA4">
              <w:rPr>
                <w:rFonts w:ascii="Arial" w:hAnsi="Arial" w:cs="Arial"/>
                <w:sz w:val="24"/>
                <w:szCs w:val="24"/>
                <w:lang w:val="az-Latn-AZ"/>
              </w:rPr>
              <w:t xml:space="preserve"> xəritə üzərində</w:t>
            </w:r>
            <w:r w:rsidR="004C0CFC">
              <w:rPr>
                <w:rFonts w:ascii="Arial" w:hAnsi="Arial" w:cs="Arial"/>
                <w:sz w:val="24"/>
                <w:szCs w:val="24"/>
                <w:lang w:val="az-Latn-AZ"/>
              </w:rPr>
              <w:t xml:space="preserve"> qeyd edilməklə </w:t>
            </w:r>
            <w:r w:rsidRPr="00920BA4">
              <w:rPr>
                <w:rFonts w:ascii="Arial" w:hAnsi="Arial" w:cs="Arial"/>
                <w:sz w:val="24"/>
                <w:szCs w:val="24"/>
                <w:lang w:val="az-Latn-AZ"/>
              </w:rPr>
              <w:t>aidiyyət</w:t>
            </w:r>
            <w:r w:rsidR="004C0CFC">
              <w:rPr>
                <w:rFonts w:ascii="Arial" w:hAnsi="Arial" w:cs="Arial"/>
                <w:sz w:val="24"/>
                <w:szCs w:val="24"/>
                <w:lang w:val="az-Latn-AZ"/>
              </w:rPr>
              <w:t>i</w:t>
            </w:r>
            <w:r w:rsidRPr="00920BA4">
              <w:rPr>
                <w:rFonts w:ascii="Arial" w:hAnsi="Arial" w:cs="Arial"/>
                <w:sz w:val="24"/>
                <w:szCs w:val="24"/>
                <w:lang w:val="az-Latn-AZ"/>
              </w:rPr>
              <w:t xml:space="preserve"> dövlət qurumlarına təqdim edilməsi </w:t>
            </w:r>
            <w:r w:rsidR="004C0CFC">
              <w:rPr>
                <w:rFonts w:ascii="Arial" w:hAnsi="Arial" w:cs="Arial"/>
                <w:sz w:val="24"/>
                <w:szCs w:val="24"/>
                <w:lang w:val="az-Latn-AZ"/>
              </w:rPr>
              <w:t xml:space="preserve">üçün </w:t>
            </w:r>
            <w:r w:rsidRPr="00920BA4">
              <w:rPr>
                <w:rFonts w:ascii="Arial" w:hAnsi="Arial" w:cs="Arial"/>
                <w:sz w:val="24"/>
                <w:szCs w:val="24"/>
                <w:lang w:val="az-Latn-AZ"/>
              </w:rPr>
              <w:t xml:space="preserve">elektron portalın </w:t>
            </w:r>
            <w:r w:rsidR="004E71B0" w:rsidRPr="00920BA4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və </w:t>
            </w:r>
            <w:r w:rsidR="004E71B0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müvafiq </w:t>
            </w:r>
            <w:r w:rsidR="004E71B0" w:rsidRPr="00920BA4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mobil tətbiqin yaradılması, pilot olaraq Bakı şəhərində </w:t>
            </w:r>
            <w:r w:rsidR="004E71B0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həyata keçirilməsi </w:t>
            </w:r>
          </w:p>
        </w:tc>
        <w:tc>
          <w:tcPr>
            <w:tcW w:w="2977" w:type="dxa"/>
            <w:vAlign w:val="center"/>
          </w:tcPr>
          <w:p w14:paraId="0C3C1E91" w14:textId="77777777" w:rsidR="001D022E" w:rsidRPr="00920BA4" w:rsidRDefault="001D022E" w:rsidP="001D022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Təkliflər paketinin hazırlanması</w:t>
            </w:r>
          </w:p>
        </w:tc>
        <w:tc>
          <w:tcPr>
            <w:tcW w:w="2977" w:type="dxa"/>
            <w:vAlign w:val="center"/>
          </w:tcPr>
          <w:p w14:paraId="796D6349" w14:textId="77777777" w:rsidR="001D022E" w:rsidRPr="00920BA4" w:rsidRDefault="001D022E" w:rsidP="0053142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az-Latn-AZ" w:eastAsia="ru-RU"/>
              </w:rPr>
            </w:pPr>
            <w:r w:rsidRPr="00920BA4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İcraçılar: Azərbaycan Respublikasının Prezidenti yanında Vətəndaşlara Xidmət və Sosial İnnovasiyalar Agentliyi</w:t>
            </w:r>
            <w:r w:rsidR="00657FB9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, Maliyyə Nazirliyi</w:t>
            </w:r>
          </w:p>
        </w:tc>
        <w:tc>
          <w:tcPr>
            <w:tcW w:w="1417" w:type="dxa"/>
            <w:vAlign w:val="center"/>
          </w:tcPr>
          <w:p w14:paraId="7486D3B7" w14:textId="3B5253EF" w:rsidR="001D022E" w:rsidRPr="007F76E2" w:rsidRDefault="001D022E" w:rsidP="001D022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 w:rsidRPr="007F76E2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202</w:t>
            </w:r>
            <w:r w:rsidR="007E3385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1-2022</w:t>
            </w:r>
          </w:p>
        </w:tc>
      </w:tr>
      <w:tr w:rsidR="00FF1B58" w:rsidRPr="00C62DD8" w14:paraId="5E1D5D63" w14:textId="77777777" w:rsidTr="00903943">
        <w:trPr>
          <w:trHeight w:val="712"/>
          <w:jc w:val="center"/>
        </w:trPr>
        <w:tc>
          <w:tcPr>
            <w:tcW w:w="15446" w:type="dxa"/>
            <w:gridSpan w:val="5"/>
            <w:vAlign w:val="center"/>
          </w:tcPr>
          <w:p w14:paraId="016A17BD" w14:textId="0782D32C" w:rsidR="00FF1B58" w:rsidRPr="00C62DD8" w:rsidRDefault="00FF1B58" w:rsidP="00FF1B5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62D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Vətəndaş cəmiyyəti üzvlərinin fəaliyyətinin genişlən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diril</w:t>
            </w:r>
            <w:r w:rsidRPr="00C62DD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məsi və ictimai iştirakçılığın artırılması sahəsində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tədbirlər</w:t>
            </w:r>
          </w:p>
        </w:tc>
      </w:tr>
      <w:tr w:rsidR="00FF1B58" w:rsidRPr="003D5D54" w14:paraId="02E02467" w14:textId="77777777" w:rsidTr="00903943">
        <w:trPr>
          <w:trHeight w:val="425"/>
          <w:jc w:val="center"/>
        </w:trPr>
        <w:tc>
          <w:tcPr>
            <w:tcW w:w="988" w:type="dxa"/>
            <w:vAlign w:val="center"/>
          </w:tcPr>
          <w:p w14:paraId="279493DB" w14:textId="0DB6DFA4" w:rsidR="00FF1B58" w:rsidRPr="0019235C" w:rsidRDefault="00FF1B58" w:rsidP="009039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5.1.</w:t>
            </w:r>
          </w:p>
        </w:tc>
        <w:tc>
          <w:tcPr>
            <w:tcW w:w="7087" w:type="dxa"/>
            <w:vAlign w:val="center"/>
          </w:tcPr>
          <w:p w14:paraId="09F9054A" w14:textId="032879AE" w:rsidR="00FF1B58" w:rsidRPr="00920BA4" w:rsidRDefault="00FF1B58" w:rsidP="0090394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 w:rsidRPr="00920BA4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Açıq Hökumət prinsiplərinə müvafiq olaraq vətəndaş cəmiyyəti </w:t>
            </w:r>
            <w:r w:rsidR="000945DB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təsisatlarının</w:t>
            </w:r>
            <w:r w:rsidRPr="00920BA4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 fəaliyyətinin </w:t>
            </w: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genişləndirilməsi və </w:t>
            </w:r>
            <w:r w:rsidRPr="00920BA4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təkmilləşdirilməsi </w:t>
            </w: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məqsədilə tədbirlərin görülməsi, </w:t>
            </w:r>
            <w:r w:rsidRPr="00920BA4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qeyri-hökumət təşkilatlarının layihə və təşəbbüslərinə dəstəyin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 xml:space="preserve"> artırılması</w:t>
            </w:r>
            <w:r w:rsidRPr="00920BA4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314C9B5C" w14:textId="77777777" w:rsidR="00FF1B58" w:rsidRPr="00920BA4" w:rsidRDefault="00FF1B58" w:rsidP="009039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 w:rsidRPr="00920BA4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 xml:space="preserve">Qeyri-hökumət təşkilatlarının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 xml:space="preserve">cəlb edildiyi tədbirlərin və dəstəklənmiş </w:t>
            </w:r>
            <w:r w:rsidRPr="00920BA4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layihə və təşəbbüslərin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 xml:space="preserve">in sayı </w:t>
            </w:r>
          </w:p>
        </w:tc>
        <w:tc>
          <w:tcPr>
            <w:tcW w:w="2977" w:type="dxa"/>
            <w:vAlign w:val="center"/>
          </w:tcPr>
          <w:p w14:paraId="62F0EA18" w14:textId="48B31188" w:rsidR="00FF1B58" w:rsidRPr="00920BA4" w:rsidRDefault="00FF1B58" w:rsidP="009039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az-Latn-AZ" w:eastAsia="ru-RU"/>
              </w:rPr>
            </w:pPr>
            <w:r w:rsidRPr="00920BA4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İcraçı:</w:t>
            </w: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 Azərbaycan Respublikasının Prezidenti yanında Qeyri-Hökumət Təşkilatlarına Dövlət Dəstəyi Şurası</w:t>
            </w:r>
          </w:p>
        </w:tc>
        <w:tc>
          <w:tcPr>
            <w:tcW w:w="1417" w:type="dxa"/>
            <w:vAlign w:val="center"/>
          </w:tcPr>
          <w:p w14:paraId="4F51741C" w14:textId="77777777" w:rsidR="00FF1B58" w:rsidRPr="003D5D54" w:rsidRDefault="00FF1B58" w:rsidP="009039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 w:rsidRPr="003D5D54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2020-2022</w:t>
            </w:r>
          </w:p>
        </w:tc>
      </w:tr>
      <w:tr w:rsidR="00FF1B58" w:rsidRPr="003D5D54" w14:paraId="62894F1F" w14:textId="77777777" w:rsidTr="00903943">
        <w:trPr>
          <w:trHeight w:val="1025"/>
          <w:jc w:val="center"/>
        </w:trPr>
        <w:tc>
          <w:tcPr>
            <w:tcW w:w="988" w:type="dxa"/>
            <w:vAlign w:val="center"/>
          </w:tcPr>
          <w:p w14:paraId="6BE128CE" w14:textId="2639A555" w:rsidR="00FF1B58" w:rsidRPr="0019235C" w:rsidRDefault="00FF1B58" w:rsidP="009039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5.2.</w:t>
            </w:r>
          </w:p>
        </w:tc>
        <w:tc>
          <w:tcPr>
            <w:tcW w:w="7087" w:type="dxa"/>
            <w:vAlign w:val="center"/>
          </w:tcPr>
          <w:p w14:paraId="37E7592E" w14:textId="77777777" w:rsidR="00FF1B58" w:rsidRPr="004E09B7" w:rsidRDefault="00FF1B58" w:rsidP="0090394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 w:rsidRPr="004E09B7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Qeyri-hökumət təşkilatlarının, o cümlədən xarici dövlətlərin qeyri-hökumət təşkilatlarının filial və ya nümayəndəliklərinin dövlət qeydiyyatının sadələşdirilməsi və təkmilləşdirilməsi ilə bağlı təkliflərin hazırlanması</w:t>
            </w:r>
          </w:p>
        </w:tc>
        <w:tc>
          <w:tcPr>
            <w:tcW w:w="2977" w:type="dxa"/>
            <w:vAlign w:val="center"/>
          </w:tcPr>
          <w:p w14:paraId="41550B4F" w14:textId="77777777" w:rsidR="00FF1B58" w:rsidRPr="00920BA4" w:rsidRDefault="00FF1B58" w:rsidP="009039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Hazırlanmış təkliflər paketi </w:t>
            </w:r>
          </w:p>
        </w:tc>
        <w:tc>
          <w:tcPr>
            <w:tcW w:w="2977" w:type="dxa"/>
            <w:vAlign w:val="center"/>
          </w:tcPr>
          <w:p w14:paraId="769FA81E" w14:textId="77777777" w:rsidR="00FF1B58" w:rsidRPr="00920BA4" w:rsidRDefault="00FF1B58" w:rsidP="009039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az-Latn-AZ" w:eastAsia="ru-RU"/>
              </w:rPr>
            </w:pPr>
            <w:r w:rsidRPr="00920BA4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İcraçılar</w:t>
            </w: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: Ədliyyə Nazirliyi</w:t>
            </w:r>
          </w:p>
        </w:tc>
        <w:tc>
          <w:tcPr>
            <w:tcW w:w="1417" w:type="dxa"/>
            <w:vAlign w:val="center"/>
          </w:tcPr>
          <w:p w14:paraId="66017F9B" w14:textId="77777777" w:rsidR="00FF1B58" w:rsidRPr="003D5D54" w:rsidRDefault="00FF1B58" w:rsidP="009039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 w:rsidRPr="003D5D54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2020-2021</w:t>
            </w:r>
          </w:p>
        </w:tc>
      </w:tr>
      <w:tr w:rsidR="00FF1B58" w:rsidRPr="003D5D54" w14:paraId="10B67C63" w14:textId="77777777" w:rsidTr="00903943">
        <w:trPr>
          <w:trHeight w:val="1025"/>
          <w:jc w:val="center"/>
        </w:trPr>
        <w:tc>
          <w:tcPr>
            <w:tcW w:w="988" w:type="dxa"/>
            <w:vAlign w:val="center"/>
          </w:tcPr>
          <w:p w14:paraId="48AD5518" w14:textId="69561759" w:rsidR="00FF1B58" w:rsidRPr="0019235C" w:rsidRDefault="00FF1B58" w:rsidP="009039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5.3.</w:t>
            </w:r>
          </w:p>
        </w:tc>
        <w:tc>
          <w:tcPr>
            <w:tcW w:w="7087" w:type="dxa"/>
            <w:vAlign w:val="center"/>
          </w:tcPr>
          <w:p w14:paraId="3CA644B9" w14:textId="77777777" w:rsidR="00FF1B58" w:rsidRPr="004E09B7" w:rsidRDefault="00FF1B58" w:rsidP="00903943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</w:pPr>
            <w:r w:rsidRPr="004E09B7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 xml:space="preserve">Qrant müqavilələrinin (qərarlarının) qeydə alınması prosedurlarının sadələşdirilməsi və təkmilləşdirilməsi ilə bağlı təkliflərin hazırlanması </w:t>
            </w:r>
          </w:p>
        </w:tc>
        <w:tc>
          <w:tcPr>
            <w:tcW w:w="2977" w:type="dxa"/>
            <w:vAlign w:val="center"/>
          </w:tcPr>
          <w:p w14:paraId="51A7403A" w14:textId="77777777" w:rsidR="00FF1B58" w:rsidRPr="00920BA4" w:rsidRDefault="00FF1B58" w:rsidP="009039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Hazırlanmış təkliflər paketi </w:t>
            </w:r>
          </w:p>
        </w:tc>
        <w:tc>
          <w:tcPr>
            <w:tcW w:w="2977" w:type="dxa"/>
            <w:vAlign w:val="center"/>
          </w:tcPr>
          <w:p w14:paraId="1857D4CD" w14:textId="77777777" w:rsidR="00FF1B58" w:rsidRPr="00920BA4" w:rsidRDefault="00FF1B58" w:rsidP="009039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az-Latn-AZ" w:eastAsia="ru-RU"/>
              </w:rPr>
            </w:pPr>
            <w:r w:rsidRPr="00920BA4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İcraçılar</w:t>
            </w: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: Ədliyyə Nazirliyi</w:t>
            </w:r>
          </w:p>
        </w:tc>
        <w:tc>
          <w:tcPr>
            <w:tcW w:w="1417" w:type="dxa"/>
            <w:vAlign w:val="center"/>
          </w:tcPr>
          <w:p w14:paraId="7C8B8D3E" w14:textId="77777777" w:rsidR="00FF1B58" w:rsidRPr="003D5D54" w:rsidRDefault="00FF1B58" w:rsidP="009039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 w:rsidRPr="003D5D54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2020-2021</w:t>
            </w:r>
          </w:p>
        </w:tc>
      </w:tr>
      <w:tr w:rsidR="00FF1B58" w:rsidRPr="00290E8D" w14:paraId="6AC3B940" w14:textId="77777777" w:rsidTr="00903943">
        <w:trPr>
          <w:trHeight w:val="1025"/>
          <w:jc w:val="center"/>
        </w:trPr>
        <w:tc>
          <w:tcPr>
            <w:tcW w:w="988" w:type="dxa"/>
            <w:vAlign w:val="center"/>
          </w:tcPr>
          <w:p w14:paraId="43CE94FE" w14:textId="43B723BE" w:rsidR="00FF1B58" w:rsidRPr="0019235C" w:rsidRDefault="00FF1B58" w:rsidP="009039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lastRenderedPageBreak/>
              <w:t>5.4.</w:t>
            </w:r>
          </w:p>
        </w:tc>
        <w:tc>
          <w:tcPr>
            <w:tcW w:w="7087" w:type="dxa"/>
            <w:vAlign w:val="center"/>
          </w:tcPr>
          <w:p w14:paraId="6736A27F" w14:textId="2E26505E" w:rsidR="00FF1B58" w:rsidRPr="00290E8D" w:rsidRDefault="00FF1B58" w:rsidP="00903943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</w:pPr>
            <w:r w:rsidRPr="00290E8D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 xml:space="preserve">Dövlət orqanlarında kollegial qərarların qəbulu prosedurlarında, o cümlədən dövlət komissiyaları və işçi qruplarında vətəndaş cəmiyyəti </w:t>
            </w:r>
            <w:r w:rsidR="000945DB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təsisatlarının</w:t>
            </w:r>
            <w:r w:rsidRPr="00290E8D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 xml:space="preserve">, o cümlədən qeyri-hökumət təşkilatlarının iştirakının və təmsilçilyinin genişləndirilməsi </w:t>
            </w:r>
          </w:p>
        </w:tc>
        <w:tc>
          <w:tcPr>
            <w:tcW w:w="2977" w:type="dxa"/>
            <w:vAlign w:val="center"/>
          </w:tcPr>
          <w:p w14:paraId="3604D441" w14:textId="77777777" w:rsidR="00FF1B58" w:rsidRPr="00290E8D" w:rsidRDefault="00FF1B58" w:rsidP="009039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 w:rsidRPr="00290E8D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Qeyri-hökumət təşkilatlarının iştirakının genişləndirilməsi ilə bağlı hazırlanmış təkliflər, qeyri-hökumət təşkilatlarının iştirakının təmin edildiyi iclasların, işçi qrupları və komissiyaların sayı</w:t>
            </w:r>
          </w:p>
        </w:tc>
        <w:tc>
          <w:tcPr>
            <w:tcW w:w="2977" w:type="dxa"/>
            <w:vAlign w:val="center"/>
          </w:tcPr>
          <w:p w14:paraId="724F8D96" w14:textId="77777777" w:rsidR="00FF1B58" w:rsidRPr="00290E8D" w:rsidRDefault="00FF1B58" w:rsidP="009039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 w:rsidRPr="00290E8D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İcraçılar: </w:t>
            </w: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Nazirlər Kabineti, </w:t>
            </w:r>
            <w:r w:rsidRPr="00290E8D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Ədliyyə Nazirliyi</w:t>
            </w: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, mərkəzi və yerli icra hakimiyyəti orqanları</w:t>
            </w:r>
          </w:p>
        </w:tc>
        <w:tc>
          <w:tcPr>
            <w:tcW w:w="1417" w:type="dxa"/>
            <w:vAlign w:val="center"/>
          </w:tcPr>
          <w:p w14:paraId="70F7BABC" w14:textId="77777777" w:rsidR="00FF1B58" w:rsidRPr="00290E8D" w:rsidRDefault="00FF1B58" w:rsidP="009039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 w:rsidRPr="00290E8D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2021-2022</w:t>
            </w:r>
          </w:p>
        </w:tc>
      </w:tr>
      <w:tr w:rsidR="00FF1B58" w:rsidRPr="003D5D54" w14:paraId="3CF25AD7" w14:textId="77777777" w:rsidTr="00903943">
        <w:trPr>
          <w:trHeight w:val="346"/>
          <w:jc w:val="center"/>
        </w:trPr>
        <w:tc>
          <w:tcPr>
            <w:tcW w:w="988" w:type="dxa"/>
            <w:vAlign w:val="center"/>
          </w:tcPr>
          <w:p w14:paraId="71A6CF4C" w14:textId="17743B2B" w:rsidR="00FF1B58" w:rsidRPr="0019235C" w:rsidRDefault="00FF1B58" w:rsidP="009039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5.5.</w:t>
            </w:r>
          </w:p>
        </w:tc>
        <w:tc>
          <w:tcPr>
            <w:tcW w:w="7087" w:type="dxa"/>
            <w:vAlign w:val="center"/>
          </w:tcPr>
          <w:p w14:paraId="276B8AE6" w14:textId="77777777" w:rsidR="00FF1B58" w:rsidRPr="00920BA4" w:rsidRDefault="00FF1B58" w:rsidP="00903943">
            <w:pPr>
              <w:spacing w:after="0" w:line="240" w:lineRule="auto"/>
              <w:contextualSpacing/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</w:pPr>
            <w:r w:rsidRPr="00920BA4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 xml:space="preserve">İctimai şuraların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 xml:space="preserve">əhəmiyyətinin artırılması, şuralar tərəfindən müzakirə edilən məsələlərin əhatə dairəsinin genişləndirilməsi, </w:t>
            </w:r>
            <w:r w:rsidRPr="00920BA4">
              <w:rPr>
                <w:lang w:val="az-Latn-AZ"/>
              </w:rPr>
              <w:t>i</w:t>
            </w:r>
            <w:r w:rsidRPr="00920BA4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 xml:space="preserve">ctimai şuraların fəaliyyəti ilə bağlı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 xml:space="preserve">maarifləndirmə və təbliğat işlərinin gücləndirilməsi və dövlət qurumlarının </w:t>
            </w:r>
            <w:r w:rsidRPr="00920BA4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 xml:space="preserve">rəsmi internet resurslarında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əks etdirilməsi</w:t>
            </w:r>
          </w:p>
        </w:tc>
        <w:tc>
          <w:tcPr>
            <w:tcW w:w="2977" w:type="dxa"/>
            <w:vAlign w:val="center"/>
          </w:tcPr>
          <w:p w14:paraId="63BC6FCC" w14:textId="77777777" w:rsidR="00FF1B58" w:rsidRPr="00920BA4" w:rsidRDefault="00FF1B58" w:rsidP="009039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 w:rsidRPr="00920BA4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İctimai şuraların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 xml:space="preserve"> fəaliyyəti ilə bağlı məlumatlar</w:t>
            </w:r>
          </w:p>
        </w:tc>
        <w:tc>
          <w:tcPr>
            <w:tcW w:w="2977" w:type="dxa"/>
            <w:vAlign w:val="center"/>
          </w:tcPr>
          <w:p w14:paraId="4F19C192" w14:textId="77777777" w:rsidR="00FF1B58" w:rsidRPr="00920BA4" w:rsidRDefault="00FF1B58" w:rsidP="009039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az-Latn-AZ" w:eastAsia="ru-RU"/>
              </w:rPr>
            </w:pPr>
            <w:r w:rsidRPr="00920BA4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İcraçılar</w:t>
            </w: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: mərkəzi və yerli icra hakimiyyət orqanları, dövlət adından yaradılmış publik hüquqi şəxslər</w:t>
            </w:r>
          </w:p>
        </w:tc>
        <w:tc>
          <w:tcPr>
            <w:tcW w:w="1417" w:type="dxa"/>
            <w:vAlign w:val="center"/>
          </w:tcPr>
          <w:p w14:paraId="2A23DD6D" w14:textId="77777777" w:rsidR="00FF1B58" w:rsidRPr="003D5D54" w:rsidRDefault="00FF1B58" w:rsidP="009039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 w:rsidRPr="003D5D54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2020-2022</w:t>
            </w:r>
          </w:p>
        </w:tc>
      </w:tr>
      <w:tr w:rsidR="00FF1B58" w:rsidRPr="003D5D54" w14:paraId="0A874E40" w14:textId="77777777" w:rsidTr="00903943">
        <w:trPr>
          <w:trHeight w:val="323"/>
          <w:jc w:val="center"/>
        </w:trPr>
        <w:tc>
          <w:tcPr>
            <w:tcW w:w="988" w:type="dxa"/>
            <w:vAlign w:val="center"/>
          </w:tcPr>
          <w:p w14:paraId="3893C572" w14:textId="08290B30" w:rsidR="00FF1B58" w:rsidRPr="0019235C" w:rsidRDefault="00FF1B58" w:rsidP="009039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5.6.</w:t>
            </w:r>
          </w:p>
        </w:tc>
        <w:tc>
          <w:tcPr>
            <w:tcW w:w="7087" w:type="dxa"/>
            <w:vAlign w:val="center"/>
          </w:tcPr>
          <w:p w14:paraId="180A6A01" w14:textId="7AD96B43" w:rsidR="00FF1B58" w:rsidRPr="00920BA4" w:rsidRDefault="00610439" w:rsidP="00903943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 w:rsidRPr="00610439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Açıq Hökumətin Təşviqinə dair Hökumət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 xml:space="preserve"> – </w:t>
            </w:r>
            <w:r w:rsidRPr="00610439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Vətəndaş Cəmiyyəti Dialoqu Platforması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 xml:space="preserve">nın </w:t>
            </w:r>
            <w:r w:rsidR="00FF1B58" w:rsidRPr="003A1601">
              <w:rPr>
                <w:rFonts w:ascii="Arial" w:hAnsi="Arial" w:cs="Arial"/>
                <w:color w:val="000000"/>
                <w:sz w:val="24"/>
                <w:szCs w:val="24"/>
                <w:lang w:val="az-Latn-AZ"/>
              </w:rPr>
              <w:t>fəaliyyətinin dəstəklənməsi</w:t>
            </w:r>
          </w:p>
        </w:tc>
        <w:tc>
          <w:tcPr>
            <w:tcW w:w="2977" w:type="dxa"/>
            <w:vAlign w:val="center"/>
          </w:tcPr>
          <w:p w14:paraId="629155B1" w14:textId="77777777" w:rsidR="00FF1B58" w:rsidRPr="00574D41" w:rsidRDefault="00FF1B58" w:rsidP="009039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 w:rsidRPr="00574D41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Platformanın fəaliyyətinin təmin edilməsi üzrə tədbirlər</w:t>
            </w:r>
          </w:p>
        </w:tc>
        <w:tc>
          <w:tcPr>
            <w:tcW w:w="2977" w:type="dxa"/>
            <w:vAlign w:val="center"/>
          </w:tcPr>
          <w:p w14:paraId="7C916361" w14:textId="77777777" w:rsidR="00FF1B58" w:rsidRPr="00920BA4" w:rsidRDefault="00FF1B58" w:rsidP="009039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az-Latn-AZ" w:eastAsia="ru-RU"/>
              </w:rPr>
            </w:pPr>
            <w:r w:rsidRPr="00920BA4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İcraçılar</w:t>
            </w: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: mərkəzi və yerli icra hakimiyyət orqanları, dövlət adından yaradılmış publik hüquqi şəxslər</w:t>
            </w:r>
          </w:p>
        </w:tc>
        <w:tc>
          <w:tcPr>
            <w:tcW w:w="1417" w:type="dxa"/>
            <w:vAlign w:val="center"/>
          </w:tcPr>
          <w:p w14:paraId="709E78A5" w14:textId="77777777" w:rsidR="00FF1B58" w:rsidRPr="003D5D54" w:rsidRDefault="00FF1B58" w:rsidP="00903943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 w:rsidRPr="003D5D54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2020-2022</w:t>
            </w:r>
          </w:p>
        </w:tc>
      </w:tr>
      <w:tr w:rsidR="001D022E" w:rsidRPr="00FF1B58" w14:paraId="04A06280" w14:textId="77777777" w:rsidTr="004E09B7">
        <w:trPr>
          <w:trHeight w:val="590"/>
          <w:jc w:val="center"/>
        </w:trPr>
        <w:tc>
          <w:tcPr>
            <w:tcW w:w="15446" w:type="dxa"/>
            <w:gridSpan w:val="5"/>
            <w:vAlign w:val="center"/>
          </w:tcPr>
          <w:p w14:paraId="5BFFEFD3" w14:textId="35768B01" w:rsidR="001D022E" w:rsidRPr="0019235C" w:rsidRDefault="001D022E" w:rsidP="00FF1B5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9235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İnformasiya əldə edilməsinin təmin olunması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sahəsində tədbirlər</w:t>
            </w:r>
          </w:p>
        </w:tc>
      </w:tr>
      <w:tr w:rsidR="00243C38" w:rsidRPr="00F535DB" w14:paraId="7EC9FD08" w14:textId="77777777" w:rsidTr="004E09B7">
        <w:trPr>
          <w:trHeight w:val="1192"/>
          <w:jc w:val="center"/>
        </w:trPr>
        <w:tc>
          <w:tcPr>
            <w:tcW w:w="988" w:type="dxa"/>
            <w:vAlign w:val="center"/>
          </w:tcPr>
          <w:p w14:paraId="2F2F8928" w14:textId="4FD3D718" w:rsidR="00243C38" w:rsidRDefault="00FF1B58" w:rsidP="0053142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6</w:t>
            </w:r>
            <w:r w:rsidR="000671DE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.1</w:t>
            </w:r>
            <w:r w:rsidR="000671DE" w:rsidRPr="0019235C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.</w:t>
            </w:r>
          </w:p>
        </w:tc>
        <w:tc>
          <w:tcPr>
            <w:tcW w:w="7087" w:type="dxa"/>
            <w:vAlign w:val="center"/>
          </w:tcPr>
          <w:p w14:paraId="4DAD8731" w14:textId="092D62CC" w:rsidR="00243C38" w:rsidRPr="00920BA4" w:rsidRDefault="007E3385" w:rsidP="001D02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İnformasiyanın açıqlanması prosedurlarının təkmilləşdirilməsi, habelə a</w:t>
            </w:r>
            <w:r w:rsidR="00F535DB" w:rsidRPr="00F535DB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çıq məlumatlardan istifadə </w:t>
            </w: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edilməsi </w:t>
            </w:r>
            <w:r w:rsidR="00F535DB" w:rsidRPr="00F535DB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mexanizmi və şərtlərinin müəyyən edilməsi ilə bağlı “İnformasiya əldə etmək haqqında” Azərbaycan Respublikasının Qanununa və digər qanunvericilik aktlarına dəyişikliklərin edilməsi</w:t>
            </w:r>
            <w:r w:rsidR="00F535DB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 ilə bağlı təkliflərin hazırlanması</w:t>
            </w:r>
          </w:p>
        </w:tc>
        <w:tc>
          <w:tcPr>
            <w:tcW w:w="2977" w:type="dxa"/>
            <w:vAlign w:val="center"/>
          </w:tcPr>
          <w:p w14:paraId="15283D78" w14:textId="735D7B0C" w:rsidR="00243C38" w:rsidRDefault="00F535DB" w:rsidP="001D022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Təqdim edilmiş normativ hüquqi aktların layihələri</w:t>
            </w:r>
          </w:p>
        </w:tc>
        <w:tc>
          <w:tcPr>
            <w:tcW w:w="2977" w:type="dxa"/>
            <w:vAlign w:val="center"/>
          </w:tcPr>
          <w:p w14:paraId="43CACFD4" w14:textId="0BDB750B" w:rsidR="00243C38" w:rsidRPr="00920BA4" w:rsidRDefault="00F535DB" w:rsidP="00FF1B5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 w:rsidRPr="00920BA4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İcraçılar: </w:t>
            </w: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Nazirlər Kabineti, Ədliyyə Nazirliyi</w:t>
            </w:r>
            <w:r w:rsidR="00FF1B58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, Azərbaycan Respublikasının Prezidenti yanında Vətəndaşlara Xidmət və Sosial İnnovasiyalar üzrə Dövlət Agentliyi </w:t>
            </w:r>
          </w:p>
        </w:tc>
        <w:tc>
          <w:tcPr>
            <w:tcW w:w="1417" w:type="dxa"/>
            <w:vAlign w:val="center"/>
          </w:tcPr>
          <w:p w14:paraId="5693CA70" w14:textId="2DB3A177" w:rsidR="00243C38" w:rsidRDefault="00767A96" w:rsidP="001D022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2020-2021</w:t>
            </w:r>
          </w:p>
        </w:tc>
      </w:tr>
      <w:tr w:rsidR="00243C38" w:rsidRPr="00F535DB" w14:paraId="37E33EEF" w14:textId="77777777" w:rsidTr="004E09B7">
        <w:trPr>
          <w:trHeight w:val="1237"/>
          <w:jc w:val="center"/>
        </w:trPr>
        <w:tc>
          <w:tcPr>
            <w:tcW w:w="988" w:type="dxa"/>
            <w:vAlign w:val="center"/>
          </w:tcPr>
          <w:p w14:paraId="75119C80" w14:textId="5C2AC339" w:rsidR="00243C38" w:rsidRDefault="00FF1B58" w:rsidP="0053142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6</w:t>
            </w:r>
            <w:r w:rsidR="000671DE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.2.</w:t>
            </w:r>
          </w:p>
        </w:tc>
        <w:tc>
          <w:tcPr>
            <w:tcW w:w="7087" w:type="dxa"/>
            <w:vAlign w:val="center"/>
          </w:tcPr>
          <w:p w14:paraId="3FADCF63" w14:textId="30CDE933" w:rsidR="00243C38" w:rsidRPr="00920BA4" w:rsidRDefault="00F535DB" w:rsidP="001D02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İnformasiyanın açıqlanması </w:t>
            </w:r>
            <w:r w:rsidRPr="00F535DB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məqsədilə beynəlxalq standartlara uyğun məlumat toplularının formalaşdırılması ilə bağlı qaydaların müəyyən edilməsi</w:t>
            </w:r>
          </w:p>
        </w:tc>
        <w:tc>
          <w:tcPr>
            <w:tcW w:w="2977" w:type="dxa"/>
            <w:vAlign w:val="center"/>
          </w:tcPr>
          <w:p w14:paraId="09F9F098" w14:textId="5D6F6776" w:rsidR="00243C38" w:rsidRDefault="000671DE" w:rsidP="001D022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Hazırlanmış qaydalar</w:t>
            </w:r>
          </w:p>
        </w:tc>
        <w:tc>
          <w:tcPr>
            <w:tcW w:w="2977" w:type="dxa"/>
            <w:vAlign w:val="center"/>
          </w:tcPr>
          <w:p w14:paraId="548FB2B6" w14:textId="095B3A62" w:rsidR="00243C38" w:rsidRPr="00920BA4" w:rsidRDefault="00F535DB" w:rsidP="00FF1B58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 w:rsidRPr="00920BA4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İcraçılar: </w:t>
            </w: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Nazirlər Kabineti, Ədliyyə Nazirliyi</w:t>
            </w:r>
            <w:r w:rsidR="00FF1B58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, Azərbaycan Respublikasının Prezidenti yanında Vətəndaşlara Xidmət və </w:t>
            </w:r>
            <w:r w:rsidR="00FF1B58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lastRenderedPageBreak/>
              <w:t xml:space="preserve">Sosial İnnovasiyalar üzrə Dövlət Agentliyi </w:t>
            </w:r>
          </w:p>
        </w:tc>
        <w:tc>
          <w:tcPr>
            <w:tcW w:w="1417" w:type="dxa"/>
            <w:vAlign w:val="center"/>
          </w:tcPr>
          <w:p w14:paraId="27C7D280" w14:textId="214676E5" w:rsidR="00243C38" w:rsidRDefault="00767A96" w:rsidP="001D022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lastRenderedPageBreak/>
              <w:t>2020-2021</w:t>
            </w:r>
          </w:p>
        </w:tc>
      </w:tr>
      <w:tr w:rsidR="00F535DB" w:rsidRPr="00F535DB" w14:paraId="49BBC251" w14:textId="77777777" w:rsidTr="004E09B7">
        <w:trPr>
          <w:trHeight w:val="2062"/>
          <w:jc w:val="center"/>
        </w:trPr>
        <w:tc>
          <w:tcPr>
            <w:tcW w:w="988" w:type="dxa"/>
            <w:vAlign w:val="center"/>
          </w:tcPr>
          <w:p w14:paraId="1E147534" w14:textId="0FDE06C5" w:rsidR="00F535DB" w:rsidRDefault="00FF1B58" w:rsidP="0053142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6</w:t>
            </w:r>
            <w:r w:rsidR="000671DE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.</w:t>
            </w:r>
            <w:r w:rsidR="00592B6B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3</w:t>
            </w:r>
            <w:r w:rsidR="000671DE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.</w:t>
            </w:r>
          </w:p>
        </w:tc>
        <w:tc>
          <w:tcPr>
            <w:tcW w:w="7087" w:type="dxa"/>
            <w:vAlign w:val="center"/>
          </w:tcPr>
          <w:p w14:paraId="11E11852" w14:textId="16D078DB" w:rsidR="00F535DB" w:rsidRPr="00920BA4" w:rsidRDefault="00F535DB" w:rsidP="001D02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Dövlət q</w:t>
            </w:r>
            <w:r w:rsidRPr="00F535DB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urumların</w:t>
            </w: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ın</w:t>
            </w:r>
            <w:r w:rsidRPr="00F535DB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 rəsmi internet </w:t>
            </w: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informasiya ehtiyatlarında </w:t>
            </w:r>
            <w:r w:rsidRPr="00F535DB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“Açıq məlumatlar” bölməsinin yaradılması </w:t>
            </w:r>
          </w:p>
        </w:tc>
        <w:tc>
          <w:tcPr>
            <w:tcW w:w="2977" w:type="dxa"/>
            <w:vAlign w:val="center"/>
          </w:tcPr>
          <w:p w14:paraId="036EBFC2" w14:textId="394F9EE8" w:rsidR="00F535DB" w:rsidRDefault="000671DE" w:rsidP="001D022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Müvafiq bölmənin yaradılması ilə bağlı tədbirlər</w:t>
            </w:r>
          </w:p>
        </w:tc>
        <w:tc>
          <w:tcPr>
            <w:tcW w:w="2977" w:type="dxa"/>
            <w:vAlign w:val="center"/>
          </w:tcPr>
          <w:p w14:paraId="4ABF3145" w14:textId="412B4366" w:rsidR="00F535DB" w:rsidRPr="00920BA4" w:rsidRDefault="00F535DB" w:rsidP="00F535DB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 w:rsidRPr="00920BA4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İcraçılar: </w:t>
            </w:r>
            <w:r w:rsidR="00CD0FE7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Nazirlər Kabineti, </w:t>
            </w: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mərkəzi və yerli icra hakimiyyəti orqanları</w:t>
            </w:r>
          </w:p>
        </w:tc>
        <w:tc>
          <w:tcPr>
            <w:tcW w:w="1417" w:type="dxa"/>
            <w:vAlign w:val="center"/>
          </w:tcPr>
          <w:p w14:paraId="23D1FBF6" w14:textId="05A7DD4F" w:rsidR="00F535DB" w:rsidRDefault="00767A96" w:rsidP="001D022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2021-2022</w:t>
            </w:r>
          </w:p>
        </w:tc>
      </w:tr>
      <w:tr w:rsidR="001D022E" w:rsidRPr="00920BA4" w14:paraId="55C400DB" w14:textId="77777777" w:rsidTr="004E09B7">
        <w:trPr>
          <w:trHeight w:val="174"/>
          <w:jc w:val="center"/>
        </w:trPr>
        <w:tc>
          <w:tcPr>
            <w:tcW w:w="988" w:type="dxa"/>
            <w:vAlign w:val="center"/>
          </w:tcPr>
          <w:p w14:paraId="08B63727" w14:textId="188D57CF" w:rsidR="001D022E" w:rsidRPr="0019235C" w:rsidRDefault="00FF1B58" w:rsidP="0053142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6</w:t>
            </w:r>
            <w:r w:rsidR="001D022E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.</w:t>
            </w:r>
            <w:r w:rsidR="00592B6B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4</w:t>
            </w:r>
            <w:r w:rsidR="001D022E" w:rsidRPr="0019235C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.</w:t>
            </w:r>
          </w:p>
        </w:tc>
        <w:tc>
          <w:tcPr>
            <w:tcW w:w="7087" w:type="dxa"/>
            <w:vAlign w:val="center"/>
          </w:tcPr>
          <w:p w14:paraId="516E9867" w14:textId="7E66E34A" w:rsidR="001D022E" w:rsidRPr="00920BA4" w:rsidRDefault="00CD0FE7" w:rsidP="001D022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Informasiyanın açıqlanması ilə bağlı tələblər, habelə açıq məlumatlardan istifadənin genişləndiriməsinin </w:t>
            </w:r>
            <w:r w:rsidR="001D022E" w:rsidRPr="00920BA4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faydaları barədə ictimai maarifləndirmə tədbirlərinin həyata keçirilməsi</w:t>
            </w:r>
            <w:r w:rsidR="00870ADC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 üçün qeyri-hökumət təşkilatlarına dəstəyin göstərilməsi </w:t>
            </w:r>
          </w:p>
        </w:tc>
        <w:tc>
          <w:tcPr>
            <w:tcW w:w="2977" w:type="dxa"/>
            <w:vAlign w:val="center"/>
          </w:tcPr>
          <w:p w14:paraId="1AD97AF7" w14:textId="77777777" w:rsidR="001D022E" w:rsidRPr="00920BA4" w:rsidRDefault="001D022E" w:rsidP="0053142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 w:rsidRPr="00BB3A5D">
              <w:rPr>
                <w:rFonts w:ascii="Arial" w:eastAsia="Times New Roman" w:hAnsi="Arial" w:cs="Arial"/>
                <w:bCs/>
                <w:sz w:val="24"/>
                <w:szCs w:val="24"/>
                <w:lang w:val="az-Latn-AZ" w:eastAsia="ru-RU"/>
              </w:rPr>
              <w:t>Keçirilmiş ictimai maarifləndirmə tədbirləri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az-Latn-AZ" w:eastAsia="ru-RU"/>
              </w:rPr>
              <w:t>, təlim və treninqlər</w:t>
            </w:r>
          </w:p>
        </w:tc>
        <w:tc>
          <w:tcPr>
            <w:tcW w:w="2977" w:type="dxa"/>
            <w:vAlign w:val="center"/>
          </w:tcPr>
          <w:p w14:paraId="4854E7D4" w14:textId="01B50C32" w:rsidR="001D022E" w:rsidRDefault="001D022E" w:rsidP="0053142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 w:rsidRPr="00920BA4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İcraçı: </w:t>
            </w:r>
            <w:r w:rsidR="00870ADC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Azərbaycan Respublikasının Prezidenti yanında Qeyri-Hökumət Təşkilatlarına Dövlət Dəstəyi Şurası</w:t>
            </w:r>
          </w:p>
          <w:p w14:paraId="7AC5C1CF" w14:textId="77777777" w:rsidR="00482B8D" w:rsidRDefault="00482B8D" w:rsidP="0053142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</w:p>
          <w:p w14:paraId="244F1D84" w14:textId="1E21339D" w:rsidR="009E3869" w:rsidRPr="00920BA4" w:rsidRDefault="009E3869" w:rsidP="0053142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</w:p>
        </w:tc>
        <w:tc>
          <w:tcPr>
            <w:tcW w:w="1417" w:type="dxa"/>
            <w:vAlign w:val="center"/>
          </w:tcPr>
          <w:p w14:paraId="0A2C04E2" w14:textId="77777777" w:rsidR="001D022E" w:rsidRPr="00920BA4" w:rsidRDefault="001D022E" w:rsidP="001D022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2020-2022</w:t>
            </w:r>
          </w:p>
        </w:tc>
      </w:tr>
      <w:tr w:rsidR="001D022E" w:rsidRPr="00A44A98" w14:paraId="7C5B22B5" w14:textId="77777777" w:rsidTr="004E09B7">
        <w:trPr>
          <w:trHeight w:val="750"/>
          <w:jc w:val="center"/>
        </w:trPr>
        <w:tc>
          <w:tcPr>
            <w:tcW w:w="15446" w:type="dxa"/>
            <w:gridSpan w:val="5"/>
            <w:vAlign w:val="center"/>
          </w:tcPr>
          <w:p w14:paraId="3993F642" w14:textId="77777777" w:rsidR="001D022E" w:rsidRPr="004D0531" w:rsidRDefault="001D022E" w:rsidP="00FF1B58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" w:name="_Hlk31723734"/>
            <w:r w:rsidRPr="004D05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Yerli özünüidarəetmə</w:t>
            </w:r>
            <w:r w:rsidR="00D116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də hesabatlılığın, aşkarlığın və ictimai iştirakçılığın</w:t>
            </w:r>
            <w:r w:rsidRPr="004D05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116D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təmin edilməsi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sahəsində tədbirlər</w:t>
            </w:r>
          </w:p>
        </w:tc>
      </w:tr>
      <w:bookmarkEnd w:id="1"/>
      <w:tr w:rsidR="001D022E" w:rsidRPr="00A44A98" w14:paraId="4EA31DB2" w14:textId="77777777" w:rsidTr="004E09B7">
        <w:trPr>
          <w:trHeight w:val="150"/>
          <w:jc w:val="center"/>
        </w:trPr>
        <w:tc>
          <w:tcPr>
            <w:tcW w:w="988" w:type="dxa"/>
            <w:vAlign w:val="center"/>
          </w:tcPr>
          <w:p w14:paraId="4F4F66B3" w14:textId="77777777" w:rsidR="001D022E" w:rsidRDefault="001D022E" w:rsidP="0053142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7.1.</w:t>
            </w:r>
          </w:p>
        </w:tc>
        <w:tc>
          <w:tcPr>
            <w:tcW w:w="7087" w:type="dxa"/>
          </w:tcPr>
          <w:p w14:paraId="3423BF10" w14:textId="77777777" w:rsidR="001D022E" w:rsidRDefault="001D022E" w:rsidP="001D02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Bələdiyyələrin milli assosiasiyalarının və ictimaiyyətin nümayəndələrinin iştirakı ilə daimi fəaliyyət göstərən ictimai şuranın yaradılması </w:t>
            </w:r>
          </w:p>
          <w:p w14:paraId="5A65A114" w14:textId="77777777" w:rsidR="001D022E" w:rsidRDefault="001D022E" w:rsidP="001D02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977" w:type="dxa"/>
            <w:vAlign w:val="center"/>
          </w:tcPr>
          <w:p w14:paraId="07E1550F" w14:textId="77777777" w:rsidR="001D022E" w:rsidRDefault="001D022E" w:rsidP="001D02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İctimai şuranın yaradılması və </w:t>
            </w:r>
            <w:r w:rsidRPr="00574D41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fəaliyyətinin təmin edilməsi üzrə tədbirlər</w:t>
            </w:r>
          </w:p>
        </w:tc>
        <w:tc>
          <w:tcPr>
            <w:tcW w:w="2977" w:type="dxa"/>
            <w:vAlign w:val="center"/>
          </w:tcPr>
          <w:p w14:paraId="6A88DD4A" w14:textId="1EA0EED1" w:rsidR="001D022E" w:rsidRDefault="001D022E" w:rsidP="0053142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920BA4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İcraçı</w:t>
            </w: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>Ədliyyə Nazirliyi</w:t>
            </w:r>
          </w:p>
          <w:p w14:paraId="1F9E4C9B" w14:textId="77777777" w:rsidR="001D022E" w:rsidRDefault="001D022E" w:rsidP="0053142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p w14:paraId="16ED9F4B" w14:textId="3C69E8BA" w:rsidR="001D022E" w:rsidRDefault="001D022E" w:rsidP="0053142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Tövsiyə </w:t>
            </w:r>
            <w:r w:rsidR="009E3869">
              <w:rPr>
                <w:rFonts w:ascii="Arial" w:hAnsi="Arial" w:cs="Arial"/>
                <w:sz w:val="24"/>
                <w:szCs w:val="24"/>
                <w:lang w:val="az-Latn-AZ"/>
              </w:rPr>
              <w:t>edilir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>:</w:t>
            </w:r>
          </w:p>
          <w:p w14:paraId="3504B093" w14:textId="77777777" w:rsidR="001D022E" w:rsidRDefault="001D022E" w:rsidP="0053142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bələdiyyələrin milli</w:t>
            </w:r>
          </w:p>
          <w:p w14:paraId="0FF6D750" w14:textId="77777777" w:rsidR="001D022E" w:rsidRDefault="001D022E" w:rsidP="0053142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assosiasiyaları</w:t>
            </w:r>
          </w:p>
        </w:tc>
        <w:tc>
          <w:tcPr>
            <w:tcW w:w="1417" w:type="dxa"/>
            <w:vAlign w:val="center"/>
          </w:tcPr>
          <w:p w14:paraId="0BAEDEB9" w14:textId="77777777" w:rsidR="001D022E" w:rsidRDefault="001D022E" w:rsidP="001D02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2020</w:t>
            </w:r>
          </w:p>
        </w:tc>
      </w:tr>
      <w:tr w:rsidR="001D022E" w:rsidRPr="00A44A98" w14:paraId="512D0548" w14:textId="77777777" w:rsidTr="004E09B7">
        <w:trPr>
          <w:trHeight w:val="150"/>
          <w:jc w:val="center"/>
        </w:trPr>
        <w:tc>
          <w:tcPr>
            <w:tcW w:w="988" w:type="dxa"/>
            <w:vAlign w:val="center"/>
          </w:tcPr>
          <w:p w14:paraId="62B7223C" w14:textId="77777777" w:rsidR="001D022E" w:rsidRDefault="001D022E" w:rsidP="0053142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7.2.</w:t>
            </w:r>
          </w:p>
        </w:tc>
        <w:tc>
          <w:tcPr>
            <w:tcW w:w="7087" w:type="dxa"/>
          </w:tcPr>
          <w:p w14:paraId="26A93935" w14:textId="77777777" w:rsidR="001D022E" w:rsidRDefault="001D022E" w:rsidP="001D02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Kütləvi informasiya vasitələrindən, internet informasiya ehtiyatlarından istifadə etməklə yerli büdcənin hesabatlılığının təmin edilməsi   </w:t>
            </w:r>
          </w:p>
          <w:p w14:paraId="45045ED3" w14:textId="77777777" w:rsidR="001D022E" w:rsidRDefault="001D022E" w:rsidP="001D02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977" w:type="dxa"/>
            <w:vAlign w:val="center"/>
          </w:tcPr>
          <w:p w14:paraId="53B6A3CF" w14:textId="77777777" w:rsidR="001D022E" w:rsidRDefault="001D022E" w:rsidP="001D02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Yerli büdcələr barədə məlumatların ictimaiyyətə çatdırılması üzrə tədbirlər </w:t>
            </w:r>
          </w:p>
        </w:tc>
        <w:tc>
          <w:tcPr>
            <w:tcW w:w="2977" w:type="dxa"/>
            <w:vAlign w:val="center"/>
          </w:tcPr>
          <w:p w14:paraId="20B73044" w14:textId="66571FCB" w:rsidR="001D022E" w:rsidRDefault="001D022E" w:rsidP="0053142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920BA4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İcraçı</w:t>
            </w: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>Ədliyyə Nazirliyi</w:t>
            </w:r>
          </w:p>
          <w:p w14:paraId="2EC3620B" w14:textId="77777777" w:rsidR="001D022E" w:rsidRDefault="001D022E" w:rsidP="0053142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p w14:paraId="18950276" w14:textId="3C59C47B" w:rsidR="001D022E" w:rsidRDefault="001D022E" w:rsidP="0053142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Tövsiyə </w:t>
            </w:r>
            <w:r w:rsidR="009E3869">
              <w:rPr>
                <w:rFonts w:ascii="Arial" w:hAnsi="Arial" w:cs="Arial"/>
                <w:sz w:val="24"/>
                <w:szCs w:val="24"/>
                <w:lang w:val="az-Latn-AZ"/>
              </w:rPr>
              <w:t>edilir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>:</w:t>
            </w:r>
          </w:p>
          <w:p w14:paraId="278C20C4" w14:textId="77777777" w:rsidR="001D022E" w:rsidRDefault="001D022E" w:rsidP="0053142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bələdiyyələrin milli</w:t>
            </w:r>
          </w:p>
          <w:p w14:paraId="45D1C603" w14:textId="77777777" w:rsidR="001D022E" w:rsidRDefault="001D022E" w:rsidP="0053142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assosiasiyaları</w:t>
            </w:r>
          </w:p>
        </w:tc>
        <w:tc>
          <w:tcPr>
            <w:tcW w:w="1417" w:type="dxa"/>
            <w:vAlign w:val="center"/>
          </w:tcPr>
          <w:p w14:paraId="1BA62D85" w14:textId="77777777" w:rsidR="001D022E" w:rsidRDefault="001D022E" w:rsidP="001D02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2020-2023</w:t>
            </w:r>
          </w:p>
        </w:tc>
      </w:tr>
      <w:tr w:rsidR="001D022E" w:rsidRPr="00A44A98" w14:paraId="4E3CEC1C" w14:textId="77777777" w:rsidTr="004E09B7">
        <w:trPr>
          <w:trHeight w:val="150"/>
          <w:jc w:val="center"/>
        </w:trPr>
        <w:tc>
          <w:tcPr>
            <w:tcW w:w="988" w:type="dxa"/>
            <w:vAlign w:val="center"/>
          </w:tcPr>
          <w:p w14:paraId="47307D50" w14:textId="77777777" w:rsidR="001D022E" w:rsidRDefault="001D022E" w:rsidP="0053142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7.3.</w:t>
            </w:r>
          </w:p>
        </w:tc>
        <w:tc>
          <w:tcPr>
            <w:tcW w:w="7087" w:type="dxa"/>
          </w:tcPr>
          <w:p w14:paraId="2A443DF4" w14:textId="77777777" w:rsidR="001D022E" w:rsidRDefault="001D022E" w:rsidP="001D02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Bələdiyyələrin internetə çıxışının artırılması, bələdiyyələrin internet səhifələrinin açılması və aktiv fəaliyyət göstərməsinin təmin edilməsi </w:t>
            </w:r>
          </w:p>
          <w:p w14:paraId="170995F5" w14:textId="77777777" w:rsidR="001D022E" w:rsidRDefault="001D022E" w:rsidP="001D02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</w:tc>
        <w:tc>
          <w:tcPr>
            <w:tcW w:w="2977" w:type="dxa"/>
            <w:vAlign w:val="center"/>
          </w:tcPr>
          <w:p w14:paraId="65CA8316" w14:textId="77777777" w:rsidR="001D022E" w:rsidRDefault="001D022E" w:rsidP="001D022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lastRenderedPageBreak/>
              <w:t xml:space="preserve">Bələdiyyələrdə rəqəmsal infrastrukturun 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lastRenderedPageBreak/>
              <w:t>təkmilləşdirilməsi üzrə tədbirlər</w:t>
            </w:r>
          </w:p>
        </w:tc>
        <w:tc>
          <w:tcPr>
            <w:tcW w:w="2977" w:type="dxa"/>
            <w:vAlign w:val="center"/>
          </w:tcPr>
          <w:p w14:paraId="2513CDD8" w14:textId="4D879FD9" w:rsidR="001D022E" w:rsidRDefault="001D022E" w:rsidP="0053142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920BA4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lastRenderedPageBreak/>
              <w:t>İcraçı</w:t>
            </w: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: </w:t>
            </w:r>
            <w:r w:rsidRPr="00920BA4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Nəqliyyat, Rabitə və Yüksək Texnologiyalar Nazirliyi</w:t>
            </w: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>Ədliyyə Nazirliyi</w:t>
            </w:r>
          </w:p>
          <w:p w14:paraId="03CC8BB3" w14:textId="77777777" w:rsidR="001D022E" w:rsidRDefault="001D022E" w:rsidP="0053142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p w14:paraId="5917F64B" w14:textId="7CC7A495" w:rsidR="001D022E" w:rsidRDefault="001D022E" w:rsidP="0053142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Tövsiyə </w:t>
            </w:r>
            <w:r w:rsidR="009E3869">
              <w:rPr>
                <w:rFonts w:ascii="Arial" w:hAnsi="Arial" w:cs="Arial"/>
                <w:sz w:val="24"/>
                <w:szCs w:val="24"/>
                <w:lang w:val="az-Latn-AZ"/>
              </w:rPr>
              <w:t>edilir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>:</w:t>
            </w:r>
          </w:p>
          <w:p w14:paraId="075071CB" w14:textId="77777777" w:rsidR="001D022E" w:rsidRDefault="001D022E" w:rsidP="0053142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bələdiyyələrin milli</w:t>
            </w:r>
          </w:p>
          <w:p w14:paraId="342A245B" w14:textId="77777777" w:rsidR="001D022E" w:rsidRDefault="001D022E" w:rsidP="0053142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assosiasiyaları</w:t>
            </w:r>
          </w:p>
        </w:tc>
        <w:tc>
          <w:tcPr>
            <w:tcW w:w="1417" w:type="dxa"/>
            <w:vAlign w:val="center"/>
          </w:tcPr>
          <w:p w14:paraId="4FC185F5" w14:textId="77777777" w:rsidR="001D022E" w:rsidRDefault="001D022E" w:rsidP="001D02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lastRenderedPageBreak/>
              <w:t>2020-2023</w:t>
            </w:r>
          </w:p>
        </w:tc>
      </w:tr>
      <w:tr w:rsidR="001D022E" w:rsidRPr="00A44A98" w14:paraId="22D74466" w14:textId="77777777" w:rsidTr="004E09B7">
        <w:trPr>
          <w:trHeight w:val="150"/>
          <w:jc w:val="center"/>
        </w:trPr>
        <w:tc>
          <w:tcPr>
            <w:tcW w:w="988" w:type="dxa"/>
            <w:vAlign w:val="center"/>
          </w:tcPr>
          <w:p w14:paraId="123ABB6D" w14:textId="77777777" w:rsidR="001D022E" w:rsidRDefault="001D022E" w:rsidP="0053142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7.4.</w:t>
            </w:r>
          </w:p>
        </w:tc>
        <w:tc>
          <w:tcPr>
            <w:tcW w:w="7087" w:type="dxa"/>
          </w:tcPr>
          <w:p w14:paraId="7235027C" w14:textId="77777777" w:rsidR="001D022E" w:rsidRDefault="001D022E" w:rsidP="001D02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Bələdiyyələrlə iş portalının yaradılması</w:t>
            </w:r>
          </w:p>
        </w:tc>
        <w:tc>
          <w:tcPr>
            <w:tcW w:w="2977" w:type="dxa"/>
            <w:vAlign w:val="center"/>
          </w:tcPr>
          <w:p w14:paraId="76AD5098" w14:textId="77777777" w:rsidR="001D022E" w:rsidRDefault="001D022E" w:rsidP="001D02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Bələdiyyələrlə işin </w:t>
            </w:r>
          </w:p>
          <w:p w14:paraId="71F9D9AB" w14:textId="77777777" w:rsidR="001D022E" w:rsidRDefault="001D022E" w:rsidP="001D022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səmərəliliyinin artırılması və aşkarlığın təmin edilməsi üzrə tədbirlər</w:t>
            </w:r>
          </w:p>
        </w:tc>
        <w:tc>
          <w:tcPr>
            <w:tcW w:w="2977" w:type="dxa"/>
            <w:vAlign w:val="center"/>
          </w:tcPr>
          <w:p w14:paraId="1920581B" w14:textId="6801F7CD" w:rsidR="001D022E" w:rsidRDefault="001D022E" w:rsidP="0053142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 w:rsidRPr="00920BA4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İcraçı</w:t>
            </w: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>Ədliyyə Nazirliyi</w:t>
            </w:r>
          </w:p>
          <w:p w14:paraId="08E0B557" w14:textId="77777777" w:rsidR="001D022E" w:rsidRDefault="001D022E" w:rsidP="0053142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Maliyyə Nazirliyi</w:t>
            </w:r>
          </w:p>
          <w:p w14:paraId="2F99808E" w14:textId="77777777" w:rsidR="001D022E" w:rsidRDefault="001D022E" w:rsidP="0053142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</w:p>
          <w:p w14:paraId="2EE59909" w14:textId="6F012DA0" w:rsidR="001D022E" w:rsidRDefault="001D022E" w:rsidP="0053142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 xml:space="preserve">Tövsiyə </w:t>
            </w:r>
            <w:r w:rsidR="009E3869">
              <w:rPr>
                <w:rFonts w:ascii="Arial" w:hAnsi="Arial" w:cs="Arial"/>
                <w:sz w:val="24"/>
                <w:szCs w:val="24"/>
                <w:lang w:val="az-Latn-AZ"/>
              </w:rPr>
              <w:t>edilir</w:t>
            </w:r>
            <w:r>
              <w:rPr>
                <w:rFonts w:ascii="Arial" w:hAnsi="Arial" w:cs="Arial"/>
                <w:sz w:val="24"/>
                <w:szCs w:val="24"/>
                <w:lang w:val="az-Latn-AZ"/>
              </w:rPr>
              <w:t>:</w:t>
            </w:r>
          </w:p>
          <w:p w14:paraId="392CB2C1" w14:textId="77777777" w:rsidR="001D022E" w:rsidRDefault="001D022E" w:rsidP="0053142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bələdiyyələrin milli</w:t>
            </w:r>
          </w:p>
          <w:p w14:paraId="5E3A7405" w14:textId="5DB79438" w:rsidR="001D022E" w:rsidRDefault="001D022E" w:rsidP="009E386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assosiasiyaları</w:t>
            </w:r>
          </w:p>
        </w:tc>
        <w:tc>
          <w:tcPr>
            <w:tcW w:w="1417" w:type="dxa"/>
            <w:vAlign w:val="center"/>
          </w:tcPr>
          <w:p w14:paraId="0381BA5D" w14:textId="77777777" w:rsidR="001D022E" w:rsidRDefault="001D022E" w:rsidP="001D022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az-Latn-AZ"/>
              </w:rPr>
            </w:pPr>
            <w:r>
              <w:rPr>
                <w:rFonts w:ascii="Arial" w:hAnsi="Arial" w:cs="Arial"/>
                <w:sz w:val="24"/>
                <w:szCs w:val="24"/>
                <w:lang w:val="az-Latn-AZ"/>
              </w:rPr>
              <w:t>2020-2022</w:t>
            </w:r>
          </w:p>
        </w:tc>
      </w:tr>
      <w:tr w:rsidR="001D022E" w:rsidRPr="00B95AD0" w14:paraId="22AC6365" w14:textId="77777777" w:rsidTr="004E09B7">
        <w:trPr>
          <w:trHeight w:val="866"/>
          <w:jc w:val="center"/>
        </w:trPr>
        <w:tc>
          <w:tcPr>
            <w:tcW w:w="15446" w:type="dxa"/>
            <w:gridSpan w:val="5"/>
            <w:shd w:val="clear" w:color="auto" w:fill="auto"/>
            <w:vAlign w:val="center"/>
          </w:tcPr>
          <w:p w14:paraId="3767C2E4" w14:textId="77777777" w:rsidR="001D022E" w:rsidRPr="001D022E" w:rsidRDefault="001D022E" w:rsidP="00531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lang w:val="az-Latn-AZ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az-Latn-AZ" w:eastAsia="ru-RU"/>
              </w:rPr>
              <w:t xml:space="preserve">8. </w:t>
            </w:r>
            <w:r w:rsidRPr="00CA06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Özəl sektorda</w:t>
            </w:r>
            <w:r w:rsidRPr="00CA065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A06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şəffaflığın və məsuliyyətin artırılması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az-Latn-AZ"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sahəsində tədbirlər</w:t>
            </w:r>
          </w:p>
        </w:tc>
      </w:tr>
      <w:tr w:rsidR="001D022E" w:rsidRPr="00A44A98" w14:paraId="423F2CDA" w14:textId="77777777" w:rsidTr="004E09B7">
        <w:trPr>
          <w:trHeight w:val="280"/>
          <w:jc w:val="center"/>
        </w:trPr>
        <w:tc>
          <w:tcPr>
            <w:tcW w:w="988" w:type="dxa"/>
            <w:vAlign w:val="center"/>
          </w:tcPr>
          <w:p w14:paraId="4A6DE6DE" w14:textId="77777777" w:rsidR="001D022E" w:rsidRPr="0019235C" w:rsidRDefault="001D022E" w:rsidP="0053142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8.1.</w:t>
            </w:r>
          </w:p>
          <w:p w14:paraId="753EAFEE" w14:textId="77777777" w:rsidR="001D022E" w:rsidRPr="0019235C" w:rsidRDefault="001D022E" w:rsidP="0053142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</w:p>
        </w:tc>
        <w:tc>
          <w:tcPr>
            <w:tcW w:w="7087" w:type="dxa"/>
            <w:vAlign w:val="center"/>
          </w:tcPr>
          <w:p w14:paraId="1C4C4AFE" w14:textId="66BE1C41" w:rsidR="001D022E" w:rsidRPr="00920BA4" w:rsidRDefault="001D022E" w:rsidP="009E3869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Kölgə iqtisadiyyatının ardan qaldırılması, sahibkarlıq subyektlərinin</w:t>
            </w:r>
            <w:r w:rsidRPr="001369F8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 fəaliyyətində </w:t>
            </w:r>
            <w:r w:rsidRPr="00920BA4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şəffaflıq, korrupsiya</w:t>
            </w: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ya qarşı mübarizə</w:t>
            </w:r>
            <w:r w:rsidRPr="00920BA4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 və hesabatlılıq tələbləri</w:t>
            </w: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nin</w:t>
            </w:r>
            <w:r w:rsidRPr="00920BA4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gücləndirilməsi </w:t>
            </w:r>
            <w:r w:rsidRPr="00920BA4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üzrə təkliflərin hazırlanması</w:t>
            </w: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 </w:t>
            </w:r>
            <w:r w:rsidRPr="00920BA4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35E5AB5F" w14:textId="77777777" w:rsidR="001D022E" w:rsidRPr="00920BA4" w:rsidRDefault="001D022E" w:rsidP="001D022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 w:rsidRPr="00920BA4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Özəl sektorda şəffaflığın və məsuliyyətin artırılması </w:t>
            </w: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iləı bağlı hazırlanmış </w:t>
            </w:r>
            <w:r w:rsidRPr="00920BA4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tə</w:t>
            </w: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kliflər </w:t>
            </w:r>
          </w:p>
        </w:tc>
        <w:tc>
          <w:tcPr>
            <w:tcW w:w="2977" w:type="dxa"/>
            <w:vAlign w:val="center"/>
          </w:tcPr>
          <w:p w14:paraId="46EC2A39" w14:textId="77F8DF46" w:rsidR="001D022E" w:rsidRPr="00F01A2E" w:rsidRDefault="001D022E" w:rsidP="0053142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 w:rsidRPr="00F01A2E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İcraçılar: </w:t>
            </w:r>
            <w:r w:rsidR="004E3659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Nazirlər Kabineti, </w:t>
            </w:r>
            <w:r w:rsidRPr="00F01A2E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İqtisadiyyat Nazirliyi</w:t>
            </w:r>
          </w:p>
          <w:p w14:paraId="00FCE5B7" w14:textId="562D4E61" w:rsidR="004E3659" w:rsidRPr="00086864" w:rsidRDefault="004E3659" w:rsidP="0053142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val="az-Latn-AZ" w:eastAsia="ru-RU"/>
              </w:rPr>
            </w:pPr>
            <w:r w:rsidRPr="00BC3E37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Tövsiyə edilir:</w:t>
            </w: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 Baş Prokurorluq</w:t>
            </w:r>
          </w:p>
        </w:tc>
        <w:tc>
          <w:tcPr>
            <w:tcW w:w="1417" w:type="dxa"/>
            <w:vAlign w:val="center"/>
          </w:tcPr>
          <w:p w14:paraId="01054546" w14:textId="77777777" w:rsidR="001D022E" w:rsidRPr="00BC3E37" w:rsidRDefault="001D022E" w:rsidP="001D022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 w:rsidRPr="00BC3E37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2020-2021</w:t>
            </w:r>
          </w:p>
        </w:tc>
      </w:tr>
      <w:tr w:rsidR="001D022E" w:rsidRPr="00A44A98" w14:paraId="72F75B39" w14:textId="77777777" w:rsidTr="004E09B7">
        <w:trPr>
          <w:trHeight w:val="130"/>
          <w:jc w:val="center"/>
        </w:trPr>
        <w:tc>
          <w:tcPr>
            <w:tcW w:w="988" w:type="dxa"/>
            <w:vAlign w:val="center"/>
          </w:tcPr>
          <w:p w14:paraId="0CA882CC" w14:textId="77777777" w:rsidR="001D022E" w:rsidRPr="0019235C" w:rsidRDefault="001D022E" w:rsidP="0053142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8.2.</w:t>
            </w:r>
          </w:p>
        </w:tc>
        <w:tc>
          <w:tcPr>
            <w:tcW w:w="7087" w:type="dxa"/>
            <w:vAlign w:val="center"/>
          </w:tcPr>
          <w:p w14:paraId="37AE7DF0" w14:textId="77777777" w:rsidR="001D022E" w:rsidRPr="00920BA4" w:rsidRDefault="001D022E" w:rsidP="001D022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 w:rsidRPr="00920BA4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Özəl sektorda</w:t>
            </w: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 kommersiya və qeyri-kommersiya qurumları üçün</w:t>
            </w:r>
            <w:r w:rsidRPr="00920BA4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 antikorrupsiya</w:t>
            </w: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 və</w:t>
            </w:r>
            <w:r w:rsidRPr="00920BA4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 etik davranış qaydaları üzrə təlim və treninqlərin keçirilməsi</w:t>
            </w:r>
          </w:p>
          <w:p w14:paraId="3C223202" w14:textId="77777777" w:rsidR="001D022E" w:rsidRPr="00086864" w:rsidRDefault="001D022E" w:rsidP="001D022E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val="az-Latn-AZ" w:eastAsia="ru-RU"/>
              </w:rPr>
            </w:pPr>
          </w:p>
        </w:tc>
        <w:tc>
          <w:tcPr>
            <w:tcW w:w="2977" w:type="dxa"/>
            <w:vAlign w:val="center"/>
          </w:tcPr>
          <w:p w14:paraId="06E55E0E" w14:textId="77777777" w:rsidR="001D022E" w:rsidRDefault="001D022E" w:rsidP="001D022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az-Latn-AZ" w:eastAsia="ru-RU"/>
              </w:rPr>
            </w:pPr>
            <w:r w:rsidRPr="00BB3A5D">
              <w:rPr>
                <w:rFonts w:ascii="Arial" w:eastAsia="Times New Roman" w:hAnsi="Arial" w:cs="Arial"/>
                <w:bCs/>
                <w:sz w:val="24"/>
                <w:szCs w:val="24"/>
                <w:lang w:val="az-Latn-AZ" w:eastAsia="ru-RU"/>
              </w:rPr>
              <w:t xml:space="preserve">Keçirilmiş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az-Latn-AZ" w:eastAsia="ru-RU"/>
              </w:rPr>
              <w:t>təlim və treninqlər</w:t>
            </w:r>
          </w:p>
          <w:p w14:paraId="28560512" w14:textId="77777777" w:rsidR="001D022E" w:rsidRPr="00BC3E37" w:rsidRDefault="001D022E" w:rsidP="001D022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</w:p>
        </w:tc>
        <w:tc>
          <w:tcPr>
            <w:tcW w:w="2977" w:type="dxa"/>
            <w:vAlign w:val="center"/>
          </w:tcPr>
          <w:p w14:paraId="070D500B" w14:textId="653A764E" w:rsidR="001D022E" w:rsidRPr="00BC3E37" w:rsidRDefault="001D022E" w:rsidP="0053142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 w:rsidRPr="00BC3E37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İcraçılar: İqtisadiyyat Nazirliyi</w:t>
            </w:r>
            <w:r w:rsidR="004D2EBA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, Ədliyyə Nazirliyi</w:t>
            </w:r>
          </w:p>
          <w:p w14:paraId="1B99D236" w14:textId="5A2BBD6B" w:rsidR="001D022E" w:rsidRPr="00086864" w:rsidRDefault="001D022E" w:rsidP="0053142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val="az-Latn-AZ" w:eastAsia="ru-RU"/>
              </w:rPr>
            </w:pPr>
          </w:p>
        </w:tc>
        <w:tc>
          <w:tcPr>
            <w:tcW w:w="1417" w:type="dxa"/>
            <w:vAlign w:val="center"/>
          </w:tcPr>
          <w:p w14:paraId="77221E75" w14:textId="77777777" w:rsidR="001D022E" w:rsidRPr="00BC3E37" w:rsidRDefault="001D022E" w:rsidP="001D022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 w:rsidRPr="00BC3E37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2020-2022</w:t>
            </w:r>
          </w:p>
        </w:tc>
      </w:tr>
      <w:tr w:rsidR="001D022E" w:rsidRPr="00A44A98" w14:paraId="02758050" w14:textId="77777777" w:rsidTr="004E09B7">
        <w:trPr>
          <w:trHeight w:val="210"/>
          <w:jc w:val="center"/>
        </w:trPr>
        <w:tc>
          <w:tcPr>
            <w:tcW w:w="988" w:type="dxa"/>
            <w:vAlign w:val="center"/>
          </w:tcPr>
          <w:p w14:paraId="16738921" w14:textId="77777777" w:rsidR="001D022E" w:rsidRPr="0019235C" w:rsidRDefault="001D022E" w:rsidP="0053142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8.3.</w:t>
            </w:r>
          </w:p>
        </w:tc>
        <w:tc>
          <w:tcPr>
            <w:tcW w:w="7087" w:type="dxa"/>
            <w:vAlign w:val="center"/>
          </w:tcPr>
          <w:p w14:paraId="69606E5C" w14:textId="77777777" w:rsidR="001D022E" w:rsidRPr="00086864" w:rsidRDefault="001D022E" w:rsidP="001D022E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val="az-Latn-AZ" w:eastAsia="ru-RU"/>
              </w:rPr>
            </w:pPr>
            <w:r w:rsidRPr="00920BA4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"Antikorrupsiya idarəetmə sistemi" beynəlxalq standartının (İSO 37001 "Anti-bribery Management Sistems") özəl sektorda tətbiqi ilə bağlı maarifləndirmə və dəstək  tədbirlərinin həyata keçirilməsi </w:t>
            </w:r>
          </w:p>
        </w:tc>
        <w:tc>
          <w:tcPr>
            <w:tcW w:w="2977" w:type="dxa"/>
            <w:vAlign w:val="center"/>
          </w:tcPr>
          <w:p w14:paraId="3376A22E" w14:textId="77777777" w:rsidR="001D022E" w:rsidRDefault="001D022E" w:rsidP="001D022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az-Latn-AZ" w:eastAsia="ru-RU"/>
              </w:rPr>
            </w:pPr>
            <w:r w:rsidRPr="00BB3A5D">
              <w:rPr>
                <w:rFonts w:ascii="Arial" w:eastAsia="Times New Roman" w:hAnsi="Arial" w:cs="Arial"/>
                <w:bCs/>
                <w:sz w:val="24"/>
                <w:szCs w:val="24"/>
                <w:lang w:val="az-Latn-AZ" w:eastAsia="ru-RU"/>
              </w:rPr>
              <w:t xml:space="preserve">Keçirilmiş ictimai maarifləndirmə 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az-Latn-AZ" w:eastAsia="ru-RU"/>
              </w:rPr>
              <w:t xml:space="preserve">və dəstək </w:t>
            </w:r>
            <w:r w:rsidRPr="00BB3A5D">
              <w:rPr>
                <w:rFonts w:ascii="Arial" w:eastAsia="Times New Roman" w:hAnsi="Arial" w:cs="Arial"/>
                <w:bCs/>
                <w:sz w:val="24"/>
                <w:szCs w:val="24"/>
                <w:lang w:val="az-Latn-AZ" w:eastAsia="ru-RU"/>
              </w:rPr>
              <w:t>tədbirləri</w:t>
            </w:r>
          </w:p>
          <w:p w14:paraId="6938819F" w14:textId="77777777" w:rsidR="001D022E" w:rsidRPr="00086864" w:rsidRDefault="001D022E" w:rsidP="001D022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val="az-Latn-AZ" w:eastAsia="ru-RU"/>
              </w:rPr>
            </w:pPr>
          </w:p>
        </w:tc>
        <w:tc>
          <w:tcPr>
            <w:tcW w:w="2977" w:type="dxa"/>
            <w:vAlign w:val="center"/>
          </w:tcPr>
          <w:p w14:paraId="3D4B42FE" w14:textId="36ED861C" w:rsidR="004D2EBA" w:rsidRPr="00BC3E37" w:rsidRDefault="004D2EBA" w:rsidP="004D2EB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 w:rsidRPr="00BC3E37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İcraçı: İqtisadiyyat Nazirliyi</w:t>
            </w:r>
          </w:p>
          <w:p w14:paraId="37D19278" w14:textId="5B0E9ED1" w:rsidR="001D022E" w:rsidRPr="00086864" w:rsidRDefault="001D022E" w:rsidP="004D2EBA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val="az-Latn-AZ" w:eastAsia="ru-RU"/>
              </w:rPr>
            </w:pPr>
          </w:p>
        </w:tc>
        <w:tc>
          <w:tcPr>
            <w:tcW w:w="1417" w:type="dxa"/>
            <w:vAlign w:val="center"/>
          </w:tcPr>
          <w:p w14:paraId="7DECDA09" w14:textId="77777777" w:rsidR="001D022E" w:rsidRPr="00BC3E37" w:rsidRDefault="001D022E" w:rsidP="001D022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 w:rsidRPr="00BC3E37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2020-2022</w:t>
            </w:r>
          </w:p>
        </w:tc>
      </w:tr>
      <w:tr w:rsidR="001D022E" w:rsidRPr="00B8046F" w14:paraId="496881EA" w14:textId="77777777" w:rsidTr="004E09B7">
        <w:trPr>
          <w:trHeight w:val="834"/>
          <w:jc w:val="center"/>
        </w:trPr>
        <w:tc>
          <w:tcPr>
            <w:tcW w:w="15446" w:type="dxa"/>
            <w:gridSpan w:val="5"/>
            <w:shd w:val="clear" w:color="auto" w:fill="auto"/>
            <w:vAlign w:val="center"/>
          </w:tcPr>
          <w:p w14:paraId="70C8260C" w14:textId="77777777" w:rsidR="001D022E" w:rsidRPr="001D022E" w:rsidRDefault="001D022E" w:rsidP="0053142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lang w:val="az-Latn-AZ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az-Latn-AZ" w:eastAsia="ru-RU"/>
              </w:rPr>
              <w:t xml:space="preserve">9. </w:t>
            </w:r>
            <w:r w:rsidRPr="001D0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Əhaliyə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az-Latn-AZ" w:eastAsia="ru-RU"/>
              </w:rPr>
              <w:t xml:space="preserve"> </w:t>
            </w:r>
            <w:r w:rsidRPr="001D0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göstərilən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az-Latn-AZ" w:eastAsia="ru-RU"/>
              </w:rPr>
              <w:t>k</w:t>
            </w:r>
            <w:r w:rsidRPr="001D0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ommunal xidmətlər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az-Latn-AZ" w:eastAsia="ru-RU"/>
              </w:rPr>
              <w:t>də</w:t>
            </w:r>
            <w:r w:rsidRPr="001D0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76E89">
              <w:rPr>
                <w:rFonts w:ascii="Arial" w:eastAsia="Times New Roman" w:hAnsi="Arial" w:cs="Arial"/>
                <w:b/>
                <w:bCs/>
                <w:sz w:val="24"/>
                <w:szCs w:val="24"/>
                <w:lang w:val="az-Latn-AZ" w:eastAsia="ru-RU"/>
              </w:rPr>
              <w:t xml:space="preserve">şəffaflığın, hesabatlılığın və </w:t>
            </w:r>
            <w:r w:rsidRPr="001D022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müştəri məmnunluğunun artırılması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az-Latn-AZ"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sahəsində tədbirlər</w:t>
            </w:r>
          </w:p>
        </w:tc>
      </w:tr>
      <w:tr w:rsidR="001D022E" w:rsidRPr="00A44A98" w14:paraId="4ECCACAD" w14:textId="77777777" w:rsidTr="004E09B7">
        <w:trPr>
          <w:trHeight w:val="240"/>
          <w:jc w:val="center"/>
        </w:trPr>
        <w:tc>
          <w:tcPr>
            <w:tcW w:w="988" w:type="dxa"/>
            <w:vAlign w:val="center"/>
          </w:tcPr>
          <w:p w14:paraId="494CB99C" w14:textId="77777777" w:rsidR="001D022E" w:rsidRPr="0019235C" w:rsidRDefault="001D022E" w:rsidP="0053142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9.1.</w:t>
            </w:r>
          </w:p>
        </w:tc>
        <w:tc>
          <w:tcPr>
            <w:tcW w:w="7087" w:type="dxa"/>
            <w:vAlign w:val="center"/>
          </w:tcPr>
          <w:p w14:paraId="1F797A14" w14:textId="77777777" w:rsidR="001D022E" w:rsidRPr="00920BA4" w:rsidRDefault="001D022E" w:rsidP="001D022E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val="az-Latn-AZ" w:eastAsia="ru-RU"/>
              </w:rPr>
            </w:pPr>
            <w:r w:rsidRPr="00920BA4">
              <w:rPr>
                <w:rFonts w:ascii="Arial" w:eastAsia="Times New Roman" w:hAnsi="Arial" w:cs="Arial"/>
                <w:sz w:val="24"/>
                <w:szCs w:val="24"/>
                <w:lang w:val="az-Latn-AZ"/>
              </w:rPr>
              <w:t>Kommunal xidmətlərin elektronlaşdırılması üzrə təkliflərin hazırlanması, ən çox istifadə edilən kommunal xidmətlərin tam elektronlaşdırılması üzrə tədbirlərin görülməsi</w:t>
            </w:r>
          </w:p>
        </w:tc>
        <w:tc>
          <w:tcPr>
            <w:tcW w:w="2977" w:type="dxa"/>
            <w:vAlign w:val="center"/>
          </w:tcPr>
          <w:p w14:paraId="124D1408" w14:textId="77777777" w:rsidR="001D022E" w:rsidRPr="00920BA4" w:rsidRDefault="001D022E" w:rsidP="001D022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  <w:r w:rsidRPr="00920BA4">
              <w:rPr>
                <w:rFonts w:ascii="Arial" w:eastAsia="Times New Roman" w:hAnsi="Arial" w:cs="Arial"/>
                <w:sz w:val="24"/>
                <w:szCs w:val="24"/>
                <w:lang w:val="az-Latn-AZ"/>
              </w:rPr>
              <w:t>Kommunal xidmətlər elektronlaşdırılması və bu sahədə səmərələliyinin arıtırılması üzrə tədbirlərin görülməsi</w:t>
            </w:r>
          </w:p>
        </w:tc>
        <w:tc>
          <w:tcPr>
            <w:tcW w:w="2977" w:type="dxa"/>
            <w:vAlign w:val="center"/>
          </w:tcPr>
          <w:p w14:paraId="32062450" w14:textId="77777777" w:rsidR="001D022E" w:rsidRPr="00086864" w:rsidRDefault="001D022E" w:rsidP="0053142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val="az-Latn-AZ" w:eastAsia="ru-RU"/>
              </w:rPr>
            </w:pPr>
            <w:r w:rsidRPr="002E2FF4">
              <w:rPr>
                <w:rFonts w:ascii="Arial" w:eastAsia="Times New Roman" w:hAnsi="Arial" w:cs="Arial"/>
                <w:bCs/>
                <w:sz w:val="24"/>
                <w:szCs w:val="24"/>
                <w:lang w:val="az-Latn-AZ" w:eastAsia="ru-RU"/>
              </w:rPr>
              <w:t>İcraçılar: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az-Latn-AZ" w:eastAsia="ru-RU"/>
              </w:rPr>
              <w:t xml:space="preserve"> Nazirlər Kabineti, </w:t>
            </w:r>
            <w:r w:rsidRPr="00BC3E37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“Azərişıq” Açıq Səhmdar Cəmiyyəti, “Azərsu” Açıq Səhmdar Cəmiyyəti, Azərbaycan </w:t>
            </w:r>
            <w:r w:rsidRPr="00BC3E37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lastRenderedPageBreak/>
              <w:t>Respublikası Dövlət Neft Şirkətinin “Azəriqaz” İstehsalat Birliyi</w:t>
            </w: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, </w:t>
            </w:r>
            <w:r w:rsidRPr="00F01A2E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Azərbaycan Respublikasının Prezidenti yanında Vətəndaşlara Xidmət və Sosial İnnovasiyalar üzrə Dövlət Agentliyi</w:t>
            </w:r>
          </w:p>
        </w:tc>
        <w:tc>
          <w:tcPr>
            <w:tcW w:w="1417" w:type="dxa"/>
            <w:vAlign w:val="center"/>
          </w:tcPr>
          <w:p w14:paraId="30ABEDC0" w14:textId="77777777" w:rsidR="001D022E" w:rsidRPr="00BC3E37" w:rsidRDefault="001D022E" w:rsidP="001D022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 w:rsidRPr="00BC3E37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lastRenderedPageBreak/>
              <w:t>2020-2022</w:t>
            </w:r>
          </w:p>
        </w:tc>
      </w:tr>
      <w:tr w:rsidR="001D022E" w:rsidRPr="004D0531" w14:paraId="7C5B666E" w14:textId="77777777" w:rsidTr="004E09B7">
        <w:trPr>
          <w:trHeight w:val="400"/>
          <w:jc w:val="center"/>
        </w:trPr>
        <w:tc>
          <w:tcPr>
            <w:tcW w:w="988" w:type="dxa"/>
            <w:vAlign w:val="center"/>
          </w:tcPr>
          <w:p w14:paraId="1D093F18" w14:textId="77777777" w:rsidR="001D022E" w:rsidRDefault="001D022E" w:rsidP="0053142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9.2.</w:t>
            </w:r>
          </w:p>
        </w:tc>
        <w:tc>
          <w:tcPr>
            <w:tcW w:w="7087" w:type="dxa"/>
            <w:vAlign w:val="center"/>
          </w:tcPr>
          <w:p w14:paraId="06C631D2" w14:textId="45C01638" w:rsidR="001D022E" w:rsidRPr="00E76F36" w:rsidRDefault="001D022E" w:rsidP="001D022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highlight w:val="yellow"/>
                <w:lang w:val="az-Latn-A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Qanunvericilikdə t</w:t>
            </w:r>
            <w:r w:rsidRPr="00E76F36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əbii qaz, su</w:t>
            </w: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 və </w:t>
            </w:r>
            <w:r w:rsidRPr="00E76F36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elektrik enerjisi</w:t>
            </w: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 </w:t>
            </w:r>
            <w:r w:rsidRPr="00E76F36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təchizatı qurumları tərəfindən texniki şərtlər</w:t>
            </w:r>
            <w:r w:rsidR="00D21396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in</w:t>
            </w:r>
            <w:r w:rsidRPr="00E76F36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 veril</w:t>
            </w:r>
            <w:r w:rsidR="00795A10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məsi ilə əlaqədar </w:t>
            </w:r>
            <w:r w:rsidRPr="00E76F36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normativlərin</w:t>
            </w:r>
            <w:r w:rsidR="00D21396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,</w:t>
            </w:r>
            <w:r w:rsidRPr="00E76F36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 </w:t>
            </w:r>
            <w:r w:rsidR="00D21396" w:rsidRPr="00E76F36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eləcə də qüvvədə olan </w:t>
            </w:r>
            <w:r w:rsidR="00D21396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digər </w:t>
            </w:r>
            <w:r w:rsidR="00D21396" w:rsidRPr="00E76F36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texniki norma və tələblərin </w:t>
            </w:r>
            <w:r w:rsidR="00D21396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müasir standartlara uyğunlaşdırılması</w:t>
            </w:r>
            <w:r w:rsidRPr="00E76F36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, müvafiq infrastrukturun yenidən qurulmasına</w:t>
            </w:r>
            <w:r w:rsidR="000165C5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 görə ödənişlərin </w:t>
            </w:r>
            <w:r w:rsidRPr="00E76F36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hesablanması və </w:t>
            </w:r>
            <w:r w:rsidR="000165C5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müvafiq </w:t>
            </w:r>
            <w:r w:rsidRPr="00E76F36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işlərin görülməsinin ümumi dəyərinin </w:t>
            </w:r>
            <w:r w:rsidR="000165C5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müəyyən edilməsi ilə bağlı </w:t>
            </w:r>
            <w:r w:rsidRPr="00E76F36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müddəaların təkmilləşdirilməsi</w:t>
            </w:r>
          </w:p>
        </w:tc>
        <w:tc>
          <w:tcPr>
            <w:tcW w:w="2977" w:type="dxa"/>
            <w:vAlign w:val="center"/>
          </w:tcPr>
          <w:p w14:paraId="7C71FE4E" w14:textId="77777777" w:rsidR="001D022E" w:rsidRPr="00FE1635" w:rsidRDefault="001D022E" w:rsidP="001D022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az-Latn-AZ" w:eastAsia="ru-RU"/>
              </w:rPr>
              <w:t>Müvafiq normativ hüquqi aktların qəbul edilməsi</w:t>
            </w:r>
          </w:p>
        </w:tc>
        <w:tc>
          <w:tcPr>
            <w:tcW w:w="2977" w:type="dxa"/>
            <w:vAlign w:val="center"/>
          </w:tcPr>
          <w:p w14:paraId="3C35FF4E" w14:textId="562F7BBB" w:rsidR="001D022E" w:rsidRPr="002E2FF4" w:rsidRDefault="001D022E" w:rsidP="0053142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az-Latn-AZ" w:eastAsia="ru-RU"/>
              </w:rPr>
            </w:pPr>
            <w:r w:rsidRPr="002E2FF4">
              <w:rPr>
                <w:rFonts w:ascii="Arial" w:eastAsia="Times New Roman" w:hAnsi="Arial" w:cs="Arial"/>
                <w:bCs/>
                <w:sz w:val="24"/>
                <w:szCs w:val="24"/>
                <w:lang w:val="az-Latn-AZ" w:eastAsia="ru-RU"/>
              </w:rPr>
              <w:t>İcraçılar: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az-Latn-AZ" w:eastAsia="ru-RU"/>
              </w:rPr>
              <w:t xml:space="preserve"> Nazirlər Kabineti, </w:t>
            </w:r>
            <w:r w:rsidR="006327BB">
              <w:rPr>
                <w:rFonts w:ascii="Arial" w:eastAsia="Times New Roman" w:hAnsi="Arial" w:cs="Arial"/>
                <w:bCs/>
                <w:sz w:val="24"/>
                <w:szCs w:val="24"/>
                <w:lang w:val="az-Latn-AZ" w:eastAsia="ru-RU"/>
              </w:rPr>
              <w:t>Energetika Nazirliyi,</w:t>
            </w:r>
            <w:r w:rsidR="00D21396">
              <w:rPr>
                <w:rFonts w:ascii="Arial" w:eastAsia="Times New Roman" w:hAnsi="Arial" w:cs="Arial"/>
                <w:bCs/>
                <w:sz w:val="24"/>
                <w:szCs w:val="24"/>
                <w:lang w:val="az-Latn-AZ" w:eastAsia="ru-RU"/>
              </w:rPr>
              <w:t xml:space="preserve"> </w:t>
            </w:r>
            <w:r w:rsidR="00D21396" w:rsidRPr="00D21396">
              <w:rPr>
                <w:rFonts w:ascii="Arial" w:eastAsia="Times New Roman" w:hAnsi="Arial" w:cs="Arial"/>
                <w:bCs/>
                <w:sz w:val="24"/>
                <w:szCs w:val="24"/>
                <w:lang w:val="az-Latn-AZ" w:eastAsia="ru-RU"/>
              </w:rPr>
              <w:t>“Azərenerji” Açıq Səhmdar Cəmiyyəti</w:t>
            </w:r>
            <w:r w:rsidR="00D21396">
              <w:rPr>
                <w:rFonts w:ascii="Arial" w:eastAsia="Times New Roman" w:hAnsi="Arial" w:cs="Arial"/>
                <w:bCs/>
                <w:sz w:val="24"/>
                <w:szCs w:val="24"/>
                <w:lang w:val="az-Latn-AZ" w:eastAsia="ru-RU"/>
              </w:rPr>
              <w:t>,</w:t>
            </w:r>
            <w:r w:rsidR="00D21396" w:rsidRPr="00D21396">
              <w:rPr>
                <w:rFonts w:ascii="Arial" w:eastAsia="Times New Roman" w:hAnsi="Arial" w:cs="Arial"/>
                <w:bCs/>
                <w:sz w:val="24"/>
                <w:szCs w:val="24"/>
                <w:lang w:val="az-Latn-AZ" w:eastAsia="ru-RU"/>
              </w:rPr>
              <w:t xml:space="preserve"> </w:t>
            </w:r>
            <w:r w:rsidRPr="00BC3E37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“Azərişıq” Açıq Səhmdar Cəmiyyəti, “Azərsu” Açıq Səhmdar Cəmiyyəti, Azərbaycan Respublikası Dövlət Neft Şirkətinin “Azəriqaz” İstehsalat Birliyi</w:t>
            </w:r>
          </w:p>
        </w:tc>
        <w:tc>
          <w:tcPr>
            <w:tcW w:w="1417" w:type="dxa"/>
            <w:vAlign w:val="center"/>
          </w:tcPr>
          <w:p w14:paraId="7E902EAC" w14:textId="77777777" w:rsidR="001D022E" w:rsidRPr="00BC3E37" w:rsidRDefault="001D022E" w:rsidP="001D022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2020</w:t>
            </w:r>
          </w:p>
        </w:tc>
      </w:tr>
      <w:tr w:rsidR="001D022E" w:rsidRPr="004D0531" w14:paraId="7A4BDCE5" w14:textId="77777777" w:rsidTr="004E09B7">
        <w:trPr>
          <w:trHeight w:val="400"/>
          <w:jc w:val="center"/>
        </w:trPr>
        <w:tc>
          <w:tcPr>
            <w:tcW w:w="988" w:type="dxa"/>
            <w:vAlign w:val="center"/>
          </w:tcPr>
          <w:p w14:paraId="5975842B" w14:textId="77777777" w:rsidR="001D022E" w:rsidRDefault="001D022E" w:rsidP="0053142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bookmarkStart w:id="2" w:name="_Hlk31726769"/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9.3.</w:t>
            </w:r>
          </w:p>
        </w:tc>
        <w:tc>
          <w:tcPr>
            <w:tcW w:w="7087" w:type="dxa"/>
            <w:vAlign w:val="center"/>
          </w:tcPr>
          <w:p w14:paraId="0C5C495B" w14:textId="087C78A1" w:rsidR="001D022E" w:rsidRPr="00E76F36" w:rsidRDefault="001D022E" w:rsidP="001D02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T</w:t>
            </w:r>
            <w:r w:rsidRPr="00E76F36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əbii qaz, su</w:t>
            </w: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 və </w:t>
            </w:r>
            <w:r w:rsidRPr="00E76F36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elektrik enerjisi</w:t>
            </w: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 </w:t>
            </w:r>
            <w:r w:rsidRPr="00E76F36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təchizatı qurumları tərəfindən </w:t>
            </w: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texniki şərtlər hazırlanması üçün </w:t>
            </w:r>
            <w:r w:rsidRPr="00E76F36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meyarlar</w:t>
            </w: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ın müəyyən edilməsi</w:t>
            </w:r>
            <w:r w:rsidRPr="00E76F36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, </w:t>
            </w:r>
          </w:p>
          <w:p w14:paraId="4B76D278" w14:textId="77777777" w:rsidR="001D022E" w:rsidRPr="00E76F36" w:rsidRDefault="001D022E" w:rsidP="001D022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highlight w:val="yellow"/>
                <w:lang w:val="az-Latn-AZ"/>
              </w:rPr>
            </w:pPr>
          </w:p>
        </w:tc>
        <w:tc>
          <w:tcPr>
            <w:tcW w:w="2977" w:type="dxa"/>
            <w:vAlign w:val="center"/>
          </w:tcPr>
          <w:p w14:paraId="28751817" w14:textId="77777777" w:rsidR="001D022E" w:rsidRPr="00FE1635" w:rsidRDefault="001D022E" w:rsidP="001D022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az-Latn-AZ" w:eastAsia="ru-RU"/>
              </w:rPr>
              <w:t>Müvafiq normativ hüquqi aktların qəbul edilməsi</w:t>
            </w:r>
          </w:p>
        </w:tc>
        <w:tc>
          <w:tcPr>
            <w:tcW w:w="2977" w:type="dxa"/>
            <w:vAlign w:val="center"/>
          </w:tcPr>
          <w:p w14:paraId="2F2A03AC" w14:textId="7E110726" w:rsidR="001D022E" w:rsidRPr="00086864" w:rsidRDefault="001D022E" w:rsidP="0053142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val="az-Latn-AZ" w:eastAsia="ru-RU"/>
              </w:rPr>
            </w:pPr>
            <w:r w:rsidRPr="002E2FF4">
              <w:rPr>
                <w:rFonts w:ascii="Arial" w:eastAsia="Times New Roman" w:hAnsi="Arial" w:cs="Arial"/>
                <w:bCs/>
                <w:sz w:val="24"/>
                <w:szCs w:val="24"/>
                <w:lang w:val="az-Latn-AZ" w:eastAsia="ru-RU"/>
              </w:rPr>
              <w:t>İcraçılar: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az-Latn-AZ" w:eastAsia="ru-RU"/>
              </w:rPr>
              <w:t xml:space="preserve"> Nazirlər Kabineti, </w:t>
            </w:r>
            <w:r w:rsidR="006327BB">
              <w:rPr>
                <w:rFonts w:ascii="Arial" w:eastAsia="Times New Roman" w:hAnsi="Arial" w:cs="Arial"/>
                <w:bCs/>
                <w:sz w:val="24"/>
                <w:szCs w:val="24"/>
                <w:lang w:val="az-Latn-AZ" w:eastAsia="ru-RU"/>
              </w:rPr>
              <w:t xml:space="preserve">Energetika Nazirliyi, </w:t>
            </w:r>
            <w:r w:rsidRPr="00BC3E37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“Azərişıq” Açıq Səhmdar Cəmiyyəti, “Azərsu” Açıq Səhmdar Cəmiyyəti, Azərbaycan Respublikası Dövlət Neft Şirkətinin “Azəriqaz” İstehsalat Birliyi</w:t>
            </w:r>
          </w:p>
        </w:tc>
        <w:tc>
          <w:tcPr>
            <w:tcW w:w="1417" w:type="dxa"/>
            <w:vAlign w:val="center"/>
          </w:tcPr>
          <w:p w14:paraId="79DBA4BD" w14:textId="77777777" w:rsidR="001D022E" w:rsidRPr="00BC3E37" w:rsidRDefault="001D022E" w:rsidP="001D022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2020</w:t>
            </w:r>
          </w:p>
        </w:tc>
      </w:tr>
      <w:bookmarkEnd w:id="2"/>
      <w:tr w:rsidR="001D022E" w:rsidRPr="00A44A98" w14:paraId="7B46AC77" w14:textId="77777777" w:rsidTr="004E09B7">
        <w:trPr>
          <w:trHeight w:val="204"/>
          <w:jc w:val="center"/>
        </w:trPr>
        <w:tc>
          <w:tcPr>
            <w:tcW w:w="988" w:type="dxa"/>
            <w:vAlign w:val="center"/>
          </w:tcPr>
          <w:p w14:paraId="4B662F4F" w14:textId="77777777" w:rsidR="001D022E" w:rsidRPr="0019235C" w:rsidRDefault="001D022E" w:rsidP="0053142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9.4.</w:t>
            </w:r>
          </w:p>
        </w:tc>
        <w:tc>
          <w:tcPr>
            <w:tcW w:w="7087" w:type="dxa"/>
            <w:vAlign w:val="center"/>
          </w:tcPr>
          <w:p w14:paraId="2A31B5C1" w14:textId="4D117BF1" w:rsidR="001D022E" w:rsidRPr="00661B50" w:rsidRDefault="00736342" w:rsidP="001D022E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highlight w:val="yellow"/>
                <w:lang w:val="az-Latn-AZ" w:eastAsia="ru-RU"/>
              </w:rPr>
            </w:pPr>
            <w:r w:rsidRPr="00736342">
              <w:rPr>
                <w:rFonts w:ascii="Arial" w:eastAsia="Times New Roman" w:hAnsi="Arial" w:cs="Arial"/>
                <w:sz w:val="24"/>
                <w:szCs w:val="24"/>
                <w:lang w:val="az-Latn-AZ"/>
              </w:rPr>
              <w:t xml:space="preserve">Kommunal Xidmətlər Vahid İnformasiya Sistemində </w:t>
            </w:r>
            <w:r>
              <w:rPr>
                <w:rFonts w:ascii="Arial" w:eastAsia="Times New Roman" w:hAnsi="Arial" w:cs="Arial"/>
                <w:sz w:val="24"/>
                <w:szCs w:val="24"/>
                <w:lang w:val="az-Latn-AZ"/>
              </w:rPr>
              <w:t>k</w:t>
            </w:r>
            <w:r w:rsidR="001D022E" w:rsidRPr="00CA065D">
              <w:rPr>
                <w:rFonts w:ascii="Arial" w:eastAsia="Times New Roman" w:hAnsi="Arial" w:cs="Arial"/>
                <w:sz w:val="24"/>
                <w:szCs w:val="24"/>
                <w:lang w:val="az-Latn-AZ"/>
              </w:rPr>
              <w:t xml:space="preserve">ommunal xidmətlərlə bağlı rəy, təklif və şikayətlərin qəbulu üzrə </w:t>
            </w:r>
            <w:r>
              <w:rPr>
                <w:rFonts w:ascii="Arial" w:eastAsia="Times New Roman" w:hAnsi="Arial" w:cs="Arial"/>
                <w:sz w:val="24"/>
                <w:szCs w:val="24"/>
                <w:lang w:val="az-Latn-AZ"/>
              </w:rPr>
              <w:t>bölmənin</w:t>
            </w:r>
            <w:r w:rsidR="001D022E" w:rsidRPr="00CA065D">
              <w:rPr>
                <w:rFonts w:ascii="Arial" w:eastAsia="Times New Roman" w:hAnsi="Arial" w:cs="Arial"/>
                <w:sz w:val="24"/>
                <w:szCs w:val="24"/>
                <w:lang w:val="az-Latn-AZ"/>
              </w:rPr>
              <w:t xml:space="preserve"> yaradılması</w:t>
            </w:r>
          </w:p>
        </w:tc>
        <w:tc>
          <w:tcPr>
            <w:tcW w:w="2977" w:type="dxa"/>
            <w:vAlign w:val="center"/>
          </w:tcPr>
          <w:p w14:paraId="50166E9A" w14:textId="0B2FC425" w:rsidR="001D022E" w:rsidRPr="00920BA4" w:rsidRDefault="00795A10" w:rsidP="001D022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az-Latn-AZ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/>
              </w:rPr>
              <w:t>Bölmənin</w:t>
            </w:r>
            <w:r w:rsidR="001D022E">
              <w:rPr>
                <w:rFonts w:ascii="Arial" w:eastAsia="Times New Roman" w:hAnsi="Arial" w:cs="Arial"/>
                <w:sz w:val="24"/>
                <w:szCs w:val="24"/>
                <w:lang w:val="az-Latn-AZ"/>
              </w:rPr>
              <w:t xml:space="preserve"> yaradılması ilə bağlı görülmüş tədbirlər</w:t>
            </w:r>
          </w:p>
        </w:tc>
        <w:tc>
          <w:tcPr>
            <w:tcW w:w="2977" w:type="dxa"/>
            <w:vAlign w:val="center"/>
          </w:tcPr>
          <w:p w14:paraId="079DDA59" w14:textId="72D9279C" w:rsidR="001D022E" w:rsidRPr="00BC3E37" w:rsidRDefault="001D022E" w:rsidP="0053142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val="az-Latn-AZ" w:eastAsia="ru-RU"/>
              </w:rPr>
            </w:pPr>
            <w:r w:rsidRPr="00BC3E37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İcraçılar: “Azərişıq” Açıq Səhmdar Cəmiyyəti, “Azərsu” Açıq Səhmdar Cəmiyyəti, Azərbaycan Respublikası Dövlət Neft </w:t>
            </w:r>
            <w:r w:rsidRPr="00BC3E37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lastRenderedPageBreak/>
              <w:t>Şirkətinin “Azəriqaz” İstehsalat Birliyi</w:t>
            </w: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, </w:t>
            </w:r>
            <w:r w:rsidRPr="00F01A2E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Azərbaycan Respublikasının Prezidenti yanında Vətəndaşlara Xidmət və Sosial İnnovasiyalar üzrə Dövlət Agentliyi</w:t>
            </w:r>
          </w:p>
        </w:tc>
        <w:tc>
          <w:tcPr>
            <w:tcW w:w="1417" w:type="dxa"/>
            <w:vAlign w:val="center"/>
          </w:tcPr>
          <w:p w14:paraId="4DCE37FC" w14:textId="378650BE" w:rsidR="001D022E" w:rsidRPr="00BC3E37" w:rsidRDefault="001D022E" w:rsidP="001D022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 w:rsidRPr="00BC3E37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lastRenderedPageBreak/>
              <w:t>2020</w:t>
            </w:r>
          </w:p>
        </w:tc>
      </w:tr>
      <w:tr w:rsidR="001D022E" w:rsidRPr="004D0531" w14:paraId="07F2320D" w14:textId="77777777" w:rsidTr="004E09B7">
        <w:trPr>
          <w:trHeight w:val="420"/>
          <w:jc w:val="center"/>
        </w:trPr>
        <w:tc>
          <w:tcPr>
            <w:tcW w:w="988" w:type="dxa"/>
            <w:vAlign w:val="center"/>
          </w:tcPr>
          <w:p w14:paraId="61533CFA" w14:textId="77777777" w:rsidR="001D022E" w:rsidRPr="0019235C" w:rsidRDefault="001D022E" w:rsidP="0053142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9.5.</w:t>
            </w:r>
          </w:p>
        </w:tc>
        <w:tc>
          <w:tcPr>
            <w:tcW w:w="7087" w:type="dxa"/>
            <w:vAlign w:val="center"/>
          </w:tcPr>
          <w:p w14:paraId="51572473" w14:textId="77777777" w:rsidR="001D022E" w:rsidRPr="00CA065D" w:rsidRDefault="001D022E" w:rsidP="001D022E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val="az-Latn-AZ" w:eastAsia="ru-RU"/>
              </w:rPr>
            </w:pPr>
            <w:r w:rsidRPr="00CA065D">
              <w:rPr>
                <w:rFonts w:ascii="Arial" w:eastAsia="Times New Roman" w:hAnsi="Arial" w:cs="Arial"/>
                <w:sz w:val="24"/>
                <w:szCs w:val="24"/>
                <w:lang w:val="az-Latn-AZ"/>
              </w:rPr>
              <w:t>Kommunal xidmətlərlə bağlı vahid Çağrı Mərkəzinin yaradılması</w:t>
            </w:r>
          </w:p>
        </w:tc>
        <w:tc>
          <w:tcPr>
            <w:tcW w:w="2977" w:type="dxa"/>
            <w:vAlign w:val="center"/>
          </w:tcPr>
          <w:p w14:paraId="171E439F" w14:textId="77777777" w:rsidR="001D022E" w:rsidRPr="00EE19A5" w:rsidRDefault="001D022E" w:rsidP="001D022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lang w:val="az-Latn-AZ" w:eastAsia="ru-RU"/>
              </w:rPr>
            </w:pPr>
            <w:r w:rsidRPr="00EE19A5">
              <w:rPr>
                <w:rFonts w:ascii="Arial" w:eastAsia="Times New Roman" w:hAnsi="Arial" w:cs="Arial"/>
                <w:bCs/>
                <w:sz w:val="24"/>
                <w:szCs w:val="24"/>
                <w:lang w:val="az-Latn-AZ" w:eastAsia="ru-RU"/>
              </w:rPr>
              <w:t>Çağrı Mərkəzinin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val="az-Latn-AZ"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az-Latn-AZ"/>
              </w:rPr>
              <w:t>yaradılması ilə bağlı görülmüş tədbirlər</w:t>
            </w:r>
          </w:p>
        </w:tc>
        <w:tc>
          <w:tcPr>
            <w:tcW w:w="2977" w:type="dxa"/>
            <w:vAlign w:val="center"/>
          </w:tcPr>
          <w:p w14:paraId="7F14D731" w14:textId="758D503A" w:rsidR="001D022E" w:rsidRPr="00BC3E37" w:rsidRDefault="001D022E" w:rsidP="00531424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val="az-Latn-AZ" w:eastAsia="ru-RU"/>
              </w:rPr>
            </w:pPr>
            <w:r w:rsidRPr="00BC3E37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İcraçılar: </w:t>
            </w:r>
            <w:r w:rsidR="00592B6B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Nazirlər Kabineti, </w:t>
            </w:r>
            <w:r w:rsidRPr="00BC3E37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“Azərişıq” Açıq Səhmdar Cəmiyyəti, “Azərsu” Açıq Səhmdar Cəmiyyəti, Azərbaycan Respublikası Dövlət Neft Şirkətinin “Azəriqaz” İstehsalat Birliyi</w:t>
            </w: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, </w:t>
            </w:r>
            <w:r w:rsidRPr="00F01A2E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Azərbaycan Respublikasının Prezidenti yanında Vətəndaşlara Xidmət və Sosial İnnovasiyalar üzrə Dövlət Agentliyi</w:t>
            </w:r>
            <w:r w:rsidR="00736342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, </w:t>
            </w:r>
            <w:r w:rsidR="00736342" w:rsidRPr="00736342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Energetika Nazirliyi,</w:t>
            </w:r>
            <w:r w:rsidR="00736342"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 xml:space="preserve"> Maliyyə Nazirliyi</w:t>
            </w:r>
          </w:p>
        </w:tc>
        <w:tc>
          <w:tcPr>
            <w:tcW w:w="1417" w:type="dxa"/>
            <w:vAlign w:val="center"/>
          </w:tcPr>
          <w:p w14:paraId="5D9067FD" w14:textId="77777777" w:rsidR="001D022E" w:rsidRPr="00BC3E37" w:rsidRDefault="001D022E" w:rsidP="001D022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az-Latn-AZ" w:eastAsia="ru-RU"/>
              </w:rPr>
              <w:t>2020-2022</w:t>
            </w:r>
          </w:p>
        </w:tc>
      </w:tr>
    </w:tbl>
    <w:p w14:paraId="4DDA236B" w14:textId="77777777" w:rsidR="00E76F36" w:rsidRPr="00187F5E" w:rsidRDefault="00E76F36" w:rsidP="00E76F36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val="az-Latn-AZ" w:eastAsia="ru-RU"/>
        </w:rPr>
      </w:pPr>
    </w:p>
    <w:sectPr w:rsidR="00E76F36" w:rsidRPr="00187F5E" w:rsidSect="00F57201">
      <w:headerReference w:type="default" r:id="rId8"/>
      <w:footerReference w:type="default" r:id="rId9"/>
      <w:pgSz w:w="16839" w:h="11907" w:orient="landscape" w:code="9"/>
      <w:pgMar w:top="851" w:right="1134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DCEC9" w14:textId="77777777" w:rsidR="008D3050" w:rsidRDefault="008D3050" w:rsidP="000E0AD1">
      <w:pPr>
        <w:spacing w:after="0" w:line="240" w:lineRule="auto"/>
      </w:pPr>
      <w:r>
        <w:separator/>
      </w:r>
    </w:p>
  </w:endnote>
  <w:endnote w:type="continuationSeparator" w:id="0">
    <w:p w14:paraId="4CD2D5B2" w14:textId="77777777" w:rsidR="008D3050" w:rsidRDefault="008D3050" w:rsidP="000E0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FC7A1A" w14:textId="77777777" w:rsidR="000165C5" w:rsidRDefault="000165C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96018" w14:textId="77777777" w:rsidR="008D3050" w:rsidRDefault="008D3050" w:rsidP="000E0AD1">
      <w:pPr>
        <w:spacing w:after="0" w:line="240" w:lineRule="auto"/>
      </w:pPr>
      <w:r>
        <w:separator/>
      </w:r>
    </w:p>
  </w:footnote>
  <w:footnote w:type="continuationSeparator" w:id="0">
    <w:p w14:paraId="30B02071" w14:textId="77777777" w:rsidR="008D3050" w:rsidRDefault="008D3050" w:rsidP="000E0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5318419"/>
      <w:docPartObj>
        <w:docPartGallery w:val="Page Numbers (Top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50F5906" w14:textId="77777777" w:rsidR="000165C5" w:rsidRPr="00F57201" w:rsidRDefault="000165C5">
        <w:pPr>
          <w:pStyle w:val="Header"/>
          <w:jc w:val="right"/>
          <w:rPr>
            <w:rFonts w:ascii="Arial" w:hAnsi="Arial" w:cs="Arial"/>
            <w:sz w:val="20"/>
            <w:szCs w:val="20"/>
          </w:rPr>
        </w:pPr>
        <w:r w:rsidRPr="00F57201">
          <w:rPr>
            <w:rFonts w:ascii="Arial" w:hAnsi="Arial" w:cs="Arial"/>
            <w:sz w:val="20"/>
            <w:szCs w:val="20"/>
          </w:rPr>
          <w:fldChar w:fldCharType="begin"/>
        </w:r>
        <w:r w:rsidRPr="00F57201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F57201">
          <w:rPr>
            <w:rFonts w:ascii="Arial" w:hAnsi="Arial" w:cs="Arial"/>
            <w:sz w:val="20"/>
            <w:szCs w:val="20"/>
          </w:rPr>
          <w:fldChar w:fldCharType="separate"/>
        </w:r>
        <w:r w:rsidRPr="00F57201">
          <w:rPr>
            <w:rFonts w:ascii="Arial" w:hAnsi="Arial" w:cs="Arial"/>
            <w:noProof/>
            <w:sz w:val="20"/>
            <w:szCs w:val="20"/>
          </w:rPr>
          <w:t>2</w:t>
        </w:r>
        <w:r w:rsidRPr="00F57201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48D721D5" w14:textId="77777777" w:rsidR="000165C5" w:rsidRDefault="000165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54EB4"/>
    <w:multiLevelType w:val="hybridMultilevel"/>
    <w:tmpl w:val="73E0ED62"/>
    <w:lvl w:ilvl="0" w:tplc="5C3E42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11E09"/>
    <w:multiLevelType w:val="hybridMultilevel"/>
    <w:tmpl w:val="73E0ED62"/>
    <w:lvl w:ilvl="0" w:tplc="5C3E42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C50F7"/>
    <w:multiLevelType w:val="hybridMultilevel"/>
    <w:tmpl w:val="D44C0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D715C"/>
    <w:multiLevelType w:val="multilevel"/>
    <w:tmpl w:val="5E5A0380"/>
    <w:lvl w:ilvl="0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0A3305CE"/>
    <w:multiLevelType w:val="hybridMultilevel"/>
    <w:tmpl w:val="E96A1A24"/>
    <w:lvl w:ilvl="0" w:tplc="042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5720F"/>
    <w:multiLevelType w:val="hybridMultilevel"/>
    <w:tmpl w:val="E1BCAC4E"/>
    <w:lvl w:ilvl="0" w:tplc="042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66FB0"/>
    <w:multiLevelType w:val="multilevel"/>
    <w:tmpl w:val="5E5A0380"/>
    <w:lvl w:ilvl="0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1EFF63ED"/>
    <w:multiLevelType w:val="hybridMultilevel"/>
    <w:tmpl w:val="7E6214C0"/>
    <w:lvl w:ilvl="0" w:tplc="042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490FD4"/>
    <w:multiLevelType w:val="hybridMultilevel"/>
    <w:tmpl w:val="73E0ED62"/>
    <w:lvl w:ilvl="0" w:tplc="5C3E425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252C6"/>
    <w:multiLevelType w:val="multilevel"/>
    <w:tmpl w:val="763C81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5B527EC"/>
    <w:multiLevelType w:val="hybridMultilevel"/>
    <w:tmpl w:val="90DE303C"/>
    <w:lvl w:ilvl="0" w:tplc="042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E21A6"/>
    <w:multiLevelType w:val="hybridMultilevel"/>
    <w:tmpl w:val="44F259FA"/>
    <w:lvl w:ilvl="0" w:tplc="042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3F1676C5"/>
    <w:multiLevelType w:val="hybridMultilevel"/>
    <w:tmpl w:val="8A683DB8"/>
    <w:lvl w:ilvl="0" w:tplc="042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85663"/>
    <w:multiLevelType w:val="hybridMultilevel"/>
    <w:tmpl w:val="1B74872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E33DE"/>
    <w:multiLevelType w:val="hybridMultilevel"/>
    <w:tmpl w:val="31D05ED6"/>
    <w:lvl w:ilvl="0" w:tplc="042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AE2360"/>
    <w:multiLevelType w:val="multilevel"/>
    <w:tmpl w:val="8690DC4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6" w15:restartNumberingAfterBreak="0">
    <w:nsid w:val="5DF36E22"/>
    <w:multiLevelType w:val="hybridMultilevel"/>
    <w:tmpl w:val="DFEE3A94"/>
    <w:lvl w:ilvl="0" w:tplc="042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98777E"/>
    <w:multiLevelType w:val="hybridMultilevel"/>
    <w:tmpl w:val="D1F4251C"/>
    <w:lvl w:ilvl="0" w:tplc="042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BE07AF"/>
    <w:multiLevelType w:val="hybridMultilevel"/>
    <w:tmpl w:val="EE445D34"/>
    <w:lvl w:ilvl="0" w:tplc="042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17"/>
  </w:num>
  <w:num w:numId="5">
    <w:abstractNumId w:val="18"/>
  </w:num>
  <w:num w:numId="6">
    <w:abstractNumId w:val="7"/>
  </w:num>
  <w:num w:numId="7">
    <w:abstractNumId w:val="11"/>
  </w:num>
  <w:num w:numId="8">
    <w:abstractNumId w:val="16"/>
  </w:num>
  <w:num w:numId="9">
    <w:abstractNumId w:val="3"/>
  </w:num>
  <w:num w:numId="10">
    <w:abstractNumId w:val="6"/>
  </w:num>
  <w:num w:numId="11">
    <w:abstractNumId w:val="4"/>
  </w:num>
  <w:num w:numId="12">
    <w:abstractNumId w:val="15"/>
  </w:num>
  <w:num w:numId="13">
    <w:abstractNumId w:val="2"/>
  </w:num>
  <w:num w:numId="14">
    <w:abstractNumId w:val="5"/>
  </w:num>
  <w:num w:numId="15">
    <w:abstractNumId w:val="9"/>
  </w:num>
  <w:num w:numId="16">
    <w:abstractNumId w:val="13"/>
  </w:num>
  <w:num w:numId="17">
    <w:abstractNumId w:val="0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AD1"/>
    <w:rsid w:val="000016BA"/>
    <w:rsid w:val="00001F67"/>
    <w:rsid w:val="00004C2F"/>
    <w:rsid w:val="0001075D"/>
    <w:rsid w:val="00014DE0"/>
    <w:rsid w:val="000165C5"/>
    <w:rsid w:val="0001748C"/>
    <w:rsid w:val="00024789"/>
    <w:rsid w:val="00035254"/>
    <w:rsid w:val="0004204E"/>
    <w:rsid w:val="0004651A"/>
    <w:rsid w:val="00054E89"/>
    <w:rsid w:val="00057F36"/>
    <w:rsid w:val="000671DE"/>
    <w:rsid w:val="0007015E"/>
    <w:rsid w:val="00071234"/>
    <w:rsid w:val="000714E4"/>
    <w:rsid w:val="0007182D"/>
    <w:rsid w:val="00076E89"/>
    <w:rsid w:val="000851C1"/>
    <w:rsid w:val="00086864"/>
    <w:rsid w:val="00092CC9"/>
    <w:rsid w:val="00093ECE"/>
    <w:rsid w:val="000945DB"/>
    <w:rsid w:val="00096CB2"/>
    <w:rsid w:val="00096DC6"/>
    <w:rsid w:val="000A005E"/>
    <w:rsid w:val="000A07EA"/>
    <w:rsid w:val="000A68E6"/>
    <w:rsid w:val="000B2F40"/>
    <w:rsid w:val="000B3C69"/>
    <w:rsid w:val="000C1396"/>
    <w:rsid w:val="000C1E75"/>
    <w:rsid w:val="000D67A1"/>
    <w:rsid w:val="000E0AD1"/>
    <w:rsid w:val="000E0C6E"/>
    <w:rsid w:val="000F6253"/>
    <w:rsid w:val="001027E1"/>
    <w:rsid w:val="00102B6C"/>
    <w:rsid w:val="001038D1"/>
    <w:rsid w:val="001065A8"/>
    <w:rsid w:val="001079A1"/>
    <w:rsid w:val="00124BD2"/>
    <w:rsid w:val="00124E74"/>
    <w:rsid w:val="00125021"/>
    <w:rsid w:val="00127BDB"/>
    <w:rsid w:val="001441BF"/>
    <w:rsid w:val="001449A2"/>
    <w:rsid w:val="001631CB"/>
    <w:rsid w:val="001813F7"/>
    <w:rsid w:val="00182E90"/>
    <w:rsid w:val="00183E7C"/>
    <w:rsid w:val="00187F5E"/>
    <w:rsid w:val="00190134"/>
    <w:rsid w:val="00190E6E"/>
    <w:rsid w:val="0019235C"/>
    <w:rsid w:val="00193DD7"/>
    <w:rsid w:val="001A6543"/>
    <w:rsid w:val="001B241B"/>
    <w:rsid w:val="001B2D20"/>
    <w:rsid w:val="001B75E1"/>
    <w:rsid w:val="001C0071"/>
    <w:rsid w:val="001C6974"/>
    <w:rsid w:val="001D022E"/>
    <w:rsid w:val="001D43D6"/>
    <w:rsid w:val="001D6451"/>
    <w:rsid w:val="001E235A"/>
    <w:rsid w:val="001F23EC"/>
    <w:rsid w:val="002000C2"/>
    <w:rsid w:val="00200CDE"/>
    <w:rsid w:val="0020592E"/>
    <w:rsid w:val="002208A3"/>
    <w:rsid w:val="0022689E"/>
    <w:rsid w:val="0023532A"/>
    <w:rsid w:val="002428B7"/>
    <w:rsid w:val="00243C38"/>
    <w:rsid w:val="002449A5"/>
    <w:rsid w:val="00244AAC"/>
    <w:rsid w:val="00244F35"/>
    <w:rsid w:val="0025639B"/>
    <w:rsid w:val="002576FF"/>
    <w:rsid w:val="002629AD"/>
    <w:rsid w:val="00263DCB"/>
    <w:rsid w:val="00267953"/>
    <w:rsid w:val="0027203F"/>
    <w:rsid w:val="00274247"/>
    <w:rsid w:val="002806CD"/>
    <w:rsid w:val="0028276B"/>
    <w:rsid w:val="00283B9C"/>
    <w:rsid w:val="00284B14"/>
    <w:rsid w:val="00290E8D"/>
    <w:rsid w:val="00293ACB"/>
    <w:rsid w:val="00293BF6"/>
    <w:rsid w:val="002A06BC"/>
    <w:rsid w:val="002A2BF5"/>
    <w:rsid w:val="002B7A21"/>
    <w:rsid w:val="002C0254"/>
    <w:rsid w:val="002D5A64"/>
    <w:rsid w:val="002D7994"/>
    <w:rsid w:val="002E0ED1"/>
    <w:rsid w:val="002E2FF4"/>
    <w:rsid w:val="002F2381"/>
    <w:rsid w:val="0030060D"/>
    <w:rsid w:val="00310645"/>
    <w:rsid w:val="00333DC2"/>
    <w:rsid w:val="00336C04"/>
    <w:rsid w:val="0034263D"/>
    <w:rsid w:val="003537F6"/>
    <w:rsid w:val="00382FC9"/>
    <w:rsid w:val="00383222"/>
    <w:rsid w:val="00386EB6"/>
    <w:rsid w:val="00390659"/>
    <w:rsid w:val="00392D4A"/>
    <w:rsid w:val="00393415"/>
    <w:rsid w:val="0039490A"/>
    <w:rsid w:val="003A1601"/>
    <w:rsid w:val="003A72DC"/>
    <w:rsid w:val="003B11BA"/>
    <w:rsid w:val="003B7402"/>
    <w:rsid w:val="003D0BE9"/>
    <w:rsid w:val="003D54B9"/>
    <w:rsid w:val="003D5D54"/>
    <w:rsid w:val="003E3565"/>
    <w:rsid w:val="003E6292"/>
    <w:rsid w:val="003F52B2"/>
    <w:rsid w:val="00400B1A"/>
    <w:rsid w:val="00412A2C"/>
    <w:rsid w:val="004147F0"/>
    <w:rsid w:val="0044201B"/>
    <w:rsid w:val="0044233A"/>
    <w:rsid w:val="0044520E"/>
    <w:rsid w:val="00452D8A"/>
    <w:rsid w:val="00455A55"/>
    <w:rsid w:val="00456484"/>
    <w:rsid w:val="00461425"/>
    <w:rsid w:val="00465ABD"/>
    <w:rsid w:val="004663C1"/>
    <w:rsid w:val="004742AB"/>
    <w:rsid w:val="00482B8D"/>
    <w:rsid w:val="00487E56"/>
    <w:rsid w:val="00491BD5"/>
    <w:rsid w:val="00493C4B"/>
    <w:rsid w:val="00494A40"/>
    <w:rsid w:val="0049676B"/>
    <w:rsid w:val="004A2FAC"/>
    <w:rsid w:val="004A48DC"/>
    <w:rsid w:val="004B4728"/>
    <w:rsid w:val="004B5F63"/>
    <w:rsid w:val="004B610A"/>
    <w:rsid w:val="004C0CFC"/>
    <w:rsid w:val="004C0F80"/>
    <w:rsid w:val="004C1BEC"/>
    <w:rsid w:val="004C7F77"/>
    <w:rsid w:val="004D0531"/>
    <w:rsid w:val="004D2BCE"/>
    <w:rsid w:val="004D2EBA"/>
    <w:rsid w:val="004D4850"/>
    <w:rsid w:val="004D6120"/>
    <w:rsid w:val="004E09B7"/>
    <w:rsid w:val="004E3659"/>
    <w:rsid w:val="004E71B0"/>
    <w:rsid w:val="004F3570"/>
    <w:rsid w:val="00521411"/>
    <w:rsid w:val="00531424"/>
    <w:rsid w:val="0053539E"/>
    <w:rsid w:val="005413D9"/>
    <w:rsid w:val="005539D3"/>
    <w:rsid w:val="00556002"/>
    <w:rsid w:val="00561A55"/>
    <w:rsid w:val="00561F88"/>
    <w:rsid w:val="005677F2"/>
    <w:rsid w:val="005711F6"/>
    <w:rsid w:val="005715B2"/>
    <w:rsid w:val="00572CF1"/>
    <w:rsid w:val="00574D41"/>
    <w:rsid w:val="00575266"/>
    <w:rsid w:val="00584345"/>
    <w:rsid w:val="00585B2C"/>
    <w:rsid w:val="00592B6B"/>
    <w:rsid w:val="005B3837"/>
    <w:rsid w:val="005B766A"/>
    <w:rsid w:val="005B772E"/>
    <w:rsid w:val="005C3E0E"/>
    <w:rsid w:val="005C5D08"/>
    <w:rsid w:val="005E0561"/>
    <w:rsid w:val="005E3DD1"/>
    <w:rsid w:val="005E4635"/>
    <w:rsid w:val="00600A2E"/>
    <w:rsid w:val="00601B46"/>
    <w:rsid w:val="00610439"/>
    <w:rsid w:val="00614B2F"/>
    <w:rsid w:val="00617318"/>
    <w:rsid w:val="006327BB"/>
    <w:rsid w:val="00632C56"/>
    <w:rsid w:val="006500B1"/>
    <w:rsid w:val="00657DFD"/>
    <w:rsid w:val="00657FB9"/>
    <w:rsid w:val="00661B50"/>
    <w:rsid w:val="00664032"/>
    <w:rsid w:val="00665E96"/>
    <w:rsid w:val="00667B3D"/>
    <w:rsid w:val="006715FC"/>
    <w:rsid w:val="006727A6"/>
    <w:rsid w:val="00673575"/>
    <w:rsid w:val="00693A27"/>
    <w:rsid w:val="006A40F5"/>
    <w:rsid w:val="006A450A"/>
    <w:rsid w:val="006A4FBC"/>
    <w:rsid w:val="006B1B81"/>
    <w:rsid w:val="006C0A86"/>
    <w:rsid w:val="006C43FD"/>
    <w:rsid w:val="006E1BF9"/>
    <w:rsid w:val="006E233F"/>
    <w:rsid w:val="006E5593"/>
    <w:rsid w:val="0071666B"/>
    <w:rsid w:val="00727263"/>
    <w:rsid w:val="00731641"/>
    <w:rsid w:val="007328DE"/>
    <w:rsid w:val="00736342"/>
    <w:rsid w:val="00741544"/>
    <w:rsid w:val="00745652"/>
    <w:rsid w:val="00767A96"/>
    <w:rsid w:val="00770BA0"/>
    <w:rsid w:val="0078153C"/>
    <w:rsid w:val="0079159D"/>
    <w:rsid w:val="00795A10"/>
    <w:rsid w:val="007A0F9F"/>
    <w:rsid w:val="007A26AD"/>
    <w:rsid w:val="007B0148"/>
    <w:rsid w:val="007B6B6B"/>
    <w:rsid w:val="007B6DA0"/>
    <w:rsid w:val="007C59A9"/>
    <w:rsid w:val="007C5F9C"/>
    <w:rsid w:val="007D2725"/>
    <w:rsid w:val="007D3F75"/>
    <w:rsid w:val="007D6366"/>
    <w:rsid w:val="007D6DA1"/>
    <w:rsid w:val="007E3385"/>
    <w:rsid w:val="007F1456"/>
    <w:rsid w:val="007F278A"/>
    <w:rsid w:val="007F5FFB"/>
    <w:rsid w:val="007F7097"/>
    <w:rsid w:val="007F76E2"/>
    <w:rsid w:val="008003C7"/>
    <w:rsid w:val="00830261"/>
    <w:rsid w:val="00831A9C"/>
    <w:rsid w:val="00840A0E"/>
    <w:rsid w:val="00840C1D"/>
    <w:rsid w:val="00843ADF"/>
    <w:rsid w:val="0085022A"/>
    <w:rsid w:val="0085094C"/>
    <w:rsid w:val="008611CD"/>
    <w:rsid w:val="008637B6"/>
    <w:rsid w:val="00870ADC"/>
    <w:rsid w:val="00870C3A"/>
    <w:rsid w:val="00873FE2"/>
    <w:rsid w:val="008757F3"/>
    <w:rsid w:val="00876B1E"/>
    <w:rsid w:val="00877B52"/>
    <w:rsid w:val="00882218"/>
    <w:rsid w:val="00892E41"/>
    <w:rsid w:val="00896FE7"/>
    <w:rsid w:val="008A12FF"/>
    <w:rsid w:val="008A1DE1"/>
    <w:rsid w:val="008C2627"/>
    <w:rsid w:val="008C73B0"/>
    <w:rsid w:val="008D0F3B"/>
    <w:rsid w:val="008D3050"/>
    <w:rsid w:val="008D46CE"/>
    <w:rsid w:val="008D56E9"/>
    <w:rsid w:val="008E2440"/>
    <w:rsid w:val="008F0672"/>
    <w:rsid w:val="008F636A"/>
    <w:rsid w:val="008F79C5"/>
    <w:rsid w:val="00901CC4"/>
    <w:rsid w:val="00903E56"/>
    <w:rsid w:val="0091211F"/>
    <w:rsid w:val="00920BA4"/>
    <w:rsid w:val="009218EA"/>
    <w:rsid w:val="00924255"/>
    <w:rsid w:val="00926771"/>
    <w:rsid w:val="00926ACB"/>
    <w:rsid w:val="00931665"/>
    <w:rsid w:val="00932676"/>
    <w:rsid w:val="00932B53"/>
    <w:rsid w:val="00933D99"/>
    <w:rsid w:val="009408BA"/>
    <w:rsid w:val="009427DD"/>
    <w:rsid w:val="00951057"/>
    <w:rsid w:val="009661A9"/>
    <w:rsid w:val="009700A7"/>
    <w:rsid w:val="00971B87"/>
    <w:rsid w:val="00974954"/>
    <w:rsid w:val="009A08A2"/>
    <w:rsid w:val="009A1BD7"/>
    <w:rsid w:val="009C145A"/>
    <w:rsid w:val="009D6502"/>
    <w:rsid w:val="009D6D53"/>
    <w:rsid w:val="009E0282"/>
    <w:rsid w:val="009E0E44"/>
    <w:rsid w:val="009E3869"/>
    <w:rsid w:val="009E4C92"/>
    <w:rsid w:val="009F203A"/>
    <w:rsid w:val="009F2044"/>
    <w:rsid w:val="009F2DEA"/>
    <w:rsid w:val="009F4203"/>
    <w:rsid w:val="009F4EF4"/>
    <w:rsid w:val="00A003C4"/>
    <w:rsid w:val="00A1203C"/>
    <w:rsid w:val="00A16C1B"/>
    <w:rsid w:val="00A30C46"/>
    <w:rsid w:val="00A322CD"/>
    <w:rsid w:val="00A36B2B"/>
    <w:rsid w:val="00A407F1"/>
    <w:rsid w:val="00A41595"/>
    <w:rsid w:val="00A44A98"/>
    <w:rsid w:val="00A46199"/>
    <w:rsid w:val="00A51B4A"/>
    <w:rsid w:val="00A557E9"/>
    <w:rsid w:val="00A618E8"/>
    <w:rsid w:val="00A62DD1"/>
    <w:rsid w:val="00A70636"/>
    <w:rsid w:val="00A7089A"/>
    <w:rsid w:val="00A71A56"/>
    <w:rsid w:val="00A81906"/>
    <w:rsid w:val="00A917F6"/>
    <w:rsid w:val="00AA1A85"/>
    <w:rsid w:val="00AB0437"/>
    <w:rsid w:val="00AB1BE6"/>
    <w:rsid w:val="00AB3D92"/>
    <w:rsid w:val="00AB6776"/>
    <w:rsid w:val="00AC5126"/>
    <w:rsid w:val="00AC718E"/>
    <w:rsid w:val="00AD0B03"/>
    <w:rsid w:val="00AD1647"/>
    <w:rsid w:val="00AD2DD4"/>
    <w:rsid w:val="00AD3C6B"/>
    <w:rsid w:val="00AD537B"/>
    <w:rsid w:val="00AE578B"/>
    <w:rsid w:val="00AF0DA1"/>
    <w:rsid w:val="00AF74CB"/>
    <w:rsid w:val="00B001D0"/>
    <w:rsid w:val="00B16E69"/>
    <w:rsid w:val="00B20AF7"/>
    <w:rsid w:val="00B33D6E"/>
    <w:rsid w:val="00B33E49"/>
    <w:rsid w:val="00B35944"/>
    <w:rsid w:val="00B547CE"/>
    <w:rsid w:val="00B75279"/>
    <w:rsid w:val="00B8046F"/>
    <w:rsid w:val="00B82C9D"/>
    <w:rsid w:val="00B876B0"/>
    <w:rsid w:val="00B87704"/>
    <w:rsid w:val="00B9267F"/>
    <w:rsid w:val="00B93EA6"/>
    <w:rsid w:val="00B95AD0"/>
    <w:rsid w:val="00BA661B"/>
    <w:rsid w:val="00BB00BF"/>
    <w:rsid w:val="00BB14E6"/>
    <w:rsid w:val="00BB3A5D"/>
    <w:rsid w:val="00BC2844"/>
    <w:rsid w:val="00BC34CB"/>
    <w:rsid w:val="00BC3E37"/>
    <w:rsid w:val="00BC57DD"/>
    <w:rsid w:val="00BD06F8"/>
    <w:rsid w:val="00BD0F4B"/>
    <w:rsid w:val="00BD16C0"/>
    <w:rsid w:val="00BD1D0B"/>
    <w:rsid w:val="00BD37B3"/>
    <w:rsid w:val="00BE6924"/>
    <w:rsid w:val="00BE7D99"/>
    <w:rsid w:val="00BF20F1"/>
    <w:rsid w:val="00BF6BAB"/>
    <w:rsid w:val="00C02DEA"/>
    <w:rsid w:val="00C1027C"/>
    <w:rsid w:val="00C108B1"/>
    <w:rsid w:val="00C11026"/>
    <w:rsid w:val="00C27064"/>
    <w:rsid w:val="00C274FF"/>
    <w:rsid w:val="00C27B15"/>
    <w:rsid w:val="00C322B9"/>
    <w:rsid w:val="00C32994"/>
    <w:rsid w:val="00C35FC0"/>
    <w:rsid w:val="00C43690"/>
    <w:rsid w:val="00C45C19"/>
    <w:rsid w:val="00C50A3B"/>
    <w:rsid w:val="00C50D69"/>
    <w:rsid w:val="00C539A4"/>
    <w:rsid w:val="00C55DC4"/>
    <w:rsid w:val="00C57C99"/>
    <w:rsid w:val="00C62DD8"/>
    <w:rsid w:val="00C6306F"/>
    <w:rsid w:val="00C655BA"/>
    <w:rsid w:val="00C73D03"/>
    <w:rsid w:val="00C80103"/>
    <w:rsid w:val="00C80229"/>
    <w:rsid w:val="00C80AF0"/>
    <w:rsid w:val="00C90244"/>
    <w:rsid w:val="00CA065D"/>
    <w:rsid w:val="00CA1677"/>
    <w:rsid w:val="00CB234A"/>
    <w:rsid w:val="00CB38C5"/>
    <w:rsid w:val="00CB555E"/>
    <w:rsid w:val="00CB726A"/>
    <w:rsid w:val="00CB7E5A"/>
    <w:rsid w:val="00CC42D6"/>
    <w:rsid w:val="00CC56C6"/>
    <w:rsid w:val="00CD0FE7"/>
    <w:rsid w:val="00CD4302"/>
    <w:rsid w:val="00CE30DB"/>
    <w:rsid w:val="00CE3EE6"/>
    <w:rsid w:val="00CF05FD"/>
    <w:rsid w:val="00CF7147"/>
    <w:rsid w:val="00D03168"/>
    <w:rsid w:val="00D070C2"/>
    <w:rsid w:val="00D116D5"/>
    <w:rsid w:val="00D15207"/>
    <w:rsid w:val="00D172A8"/>
    <w:rsid w:val="00D21396"/>
    <w:rsid w:val="00D36BCC"/>
    <w:rsid w:val="00D4054D"/>
    <w:rsid w:val="00D43876"/>
    <w:rsid w:val="00D43C3B"/>
    <w:rsid w:val="00D461C8"/>
    <w:rsid w:val="00D468E2"/>
    <w:rsid w:val="00D5393C"/>
    <w:rsid w:val="00D54B30"/>
    <w:rsid w:val="00D57788"/>
    <w:rsid w:val="00D57AFE"/>
    <w:rsid w:val="00D6004A"/>
    <w:rsid w:val="00D62D62"/>
    <w:rsid w:val="00D63904"/>
    <w:rsid w:val="00D66972"/>
    <w:rsid w:val="00D72E34"/>
    <w:rsid w:val="00D744C2"/>
    <w:rsid w:val="00D76EB6"/>
    <w:rsid w:val="00D7758E"/>
    <w:rsid w:val="00D803E5"/>
    <w:rsid w:val="00D95DEA"/>
    <w:rsid w:val="00D96F77"/>
    <w:rsid w:val="00DA2D40"/>
    <w:rsid w:val="00DB76D8"/>
    <w:rsid w:val="00DC3180"/>
    <w:rsid w:val="00DC4E6F"/>
    <w:rsid w:val="00DE4B12"/>
    <w:rsid w:val="00E037ED"/>
    <w:rsid w:val="00E03FD5"/>
    <w:rsid w:val="00E25D6A"/>
    <w:rsid w:val="00E27173"/>
    <w:rsid w:val="00E330CC"/>
    <w:rsid w:val="00E364D7"/>
    <w:rsid w:val="00E403D3"/>
    <w:rsid w:val="00E40B29"/>
    <w:rsid w:val="00E42D5D"/>
    <w:rsid w:val="00E51532"/>
    <w:rsid w:val="00E539DF"/>
    <w:rsid w:val="00E640AE"/>
    <w:rsid w:val="00E6728D"/>
    <w:rsid w:val="00E73521"/>
    <w:rsid w:val="00E73CC2"/>
    <w:rsid w:val="00E76F36"/>
    <w:rsid w:val="00E83D3D"/>
    <w:rsid w:val="00E85156"/>
    <w:rsid w:val="00E858BA"/>
    <w:rsid w:val="00E864E7"/>
    <w:rsid w:val="00E93449"/>
    <w:rsid w:val="00EA1BB2"/>
    <w:rsid w:val="00EA377E"/>
    <w:rsid w:val="00EB5BD7"/>
    <w:rsid w:val="00EB7FB8"/>
    <w:rsid w:val="00EC38CF"/>
    <w:rsid w:val="00EC3A10"/>
    <w:rsid w:val="00EC6076"/>
    <w:rsid w:val="00ED18AF"/>
    <w:rsid w:val="00ED369B"/>
    <w:rsid w:val="00ED5EA7"/>
    <w:rsid w:val="00EE19A5"/>
    <w:rsid w:val="00EE50A0"/>
    <w:rsid w:val="00F01A2E"/>
    <w:rsid w:val="00F02D0B"/>
    <w:rsid w:val="00F1565E"/>
    <w:rsid w:val="00F15D56"/>
    <w:rsid w:val="00F16773"/>
    <w:rsid w:val="00F16BC6"/>
    <w:rsid w:val="00F22E45"/>
    <w:rsid w:val="00F3458A"/>
    <w:rsid w:val="00F4708B"/>
    <w:rsid w:val="00F535DB"/>
    <w:rsid w:val="00F57201"/>
    <w:rsid w:val="00F83AA6"/>
    <w:rsid w:val="00F925C5"/>
    <w:rsid w:val="00F94BC0"/>
    <w:rsid w:val="00F977F9"/>
    <w:rsid w:val="00F97844"/>
    <w:rsid w:val="00FA111D"/>
    <w:rsid w:val="00FB7CAC"/>
    <w:rsid w:val="00FC0D25"/>
    <w:rsid w:val="00FC6595"/>
    <w:rsid w:val="00FC75E1"/>
    <w:rsid w:val="00FE1635"/>
    <w:rsid w:val="00FE1B6E"/>
    <w:rsid w:val="00FE70E7"/>
    <w:rsid w:val="00FF1B58"/>
    <w:rsid w:val="00FF4717"/>
    <w:rsid w:val="00FF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61A9A"/>
  <w15:docId w15:val="{CA5E6119-7541-4FDA-BE0A-D2E4E887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E0A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E0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ndnoteReference">
    <w:name w:val="endnote reference"/>
    <w:basedOn w:val="DefaultParagraphFont"/>
    <w:uiPriority w:val="99"/>
    <w:semiHidden/>
    <w:unhideWhenUsed/>
    <w:rsid w:val="000E0AD1"/>
  </w:style>
  <w:style w:type="character" w:styleId="Hyperlink">
    <w:name w:val="Hyperlink"/>
    <w:basedOn w:val="DefaultParagraphFont"/>
    <w:uiPriority w:val="99"/>
    <w:unhideWhenUsed/>
    <w:rsid w:val="000E0AD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26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771"/>
  </w:style>
  <w:style w:type="paragraph" w:styleId="Footer">
    <w:name w:val="footer"/>
    <w:basedOn w:val="Normal"/>
    <w:link w:val="FooterChar"/>
    <w:uiPriority w:val="99"/>
    <w:unhideWhenUsed/>
    <w:rsid w:val="009267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771"/>
  </w:style>
  <w:style w:type="paragraph" w:styleId="ListParagraph">
    <w:name w:val="List Paragraph"/>
    <w:basedOn w:val="Normal"/>
    <w:uiPriority w:val="34"/>
    <w:qFormat/>
    <w:rsid w:val="0030060D"/>
    <w:pPr>
      <w:ind w:left="720"/>
      <w:contextualSpacing/>
    </w:pPr>
    <w:rPr>
      <w:lang w:val="az-Latn-AZ"/>
    </w:rPr>
  </w:style>
  <w:style w:type="paragraph" w:styleId="BodyText">
    <w:name w:val="Body Text"/>
    <w:basedOn w:val="Normal"/>
    <w:link w:val="BodyTextChar"/>
    <w:uiPriority w:val="99"/>
    <w:semiHidden/>
    <w:unhideWhenUsed/>
    <w:rsid w:val="00C27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27B15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xtbody">
    <w:name w:val="Text body"/>
    <w:basedOn w:val="Normal"/>
    <w:rsid w:val="003D54B9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Normal"/>
    <w:rsid w:val="003D54B9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n-US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33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C0254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2000C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57F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7F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7F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7F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7F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3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5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ADEE4-5707-4C1E-A02A-BC2AC0B79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13</Pages>
  <Words>3639</Words>
  <Characters>20743</Characters>
  <Application>Microsoft Office Word</Application>
  <DocSecurity>0</DocSecurity>
  <Lines>172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V</cp:lastModifiedBy>
  <cp:revision>30</cp:revision>
  <cp:lastPrinted>2020-02-06T07:49:00Z</cp:lastPrinted>
  <dcterms:created xsi:type="dcterms:W3CDTF">2020-02-06T10:57:00Z</dcterms:created>
  <dcterms:modified xsi:type="dcterms:W3CDTF">2020-02-07T12:16:00Z</dcterms:modified>
</cp:coreProperties>
</file>